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8052E" w:rsidP="71AE4DCE" w:rsidRDefault="5569B6A7" w14:paraId="14DA6D8D" w14:textId="56D5B390">
      <w:pPr>
        <w:pStyle w:val="Heading2"/>
        <w:spacing w:before="299" w:beforeAutospacing="off" w:after="299" w:afterAutospacing="off"/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🌐 Improving ISO Standards with Triadic Frameworks</w:t>
      </w:r>
    </w:p>
    <w:p w:rsidR="0018052E" w:rsidP="71AE4DCE" w:rsidRDefault="5569B6A7" w14:paraId="69D20EB7" w14:textId="3C9ACAE6">
      <w:pPr>
        <w:spacing w:before="240" w:beforeAutospacing="off" w:after="240" w:afterAutospacing="off"/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71AE4DCE" w:rsidR="1419FD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Nawder Loswin </w:t>
      </w:r>
    </w:p>
    <w:p w:rsidR="0018052E" w:rsidP="71AE4DCE" w:rsidRDefault="5569B6A7" w14:paraId="6EBB3AA1" w14:textId="2671B8B2">
      <w:pPr>
        <w:spacing w:before="240" w:beforeAutospacing="off" w:after="240" w:afterAutospacing="off"/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71AE4DCE" w:rsidR="1419FDAC">
        <w:rPr>
          <w:rFonts w:ascii="Aptos" w:hAnsi="Aptos" w:eastAsia="Aptos" w:cs="Aptos"/>
          <w:noProof w:val="0"/>
          <w:sz w:val="24"/>
          <w:szCs w:val="24"/>
          <w:lang w:val="en-US"/>
        </w:rPr>
        <w:t>: To embed Triadic Framework Technology (TFT) into ISO methodologies, transforming standards from linear compliance tools into harmonic, remixable systems of global coherence.</w:t>
      </w:r>
    </w:p>
    <w:p w:rsidR="0018052E" w:rsidP="71AE4DCE" w:rsidRDefault="5569B6A7" w14:paraId="169D0512" w14:textId="38FE4BE0">
      <w:pPr>
        <w:pStyle w:val="Heading3"/>
        <w:spacing w:before="281" w:beforeAutospacing="off" w:after="281" w:afterAutospacing="off"/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✨ Abstract (Refreshed)</w:t>
      </w:r>
    </w:p>
    <w:p w:rsidR="0018052E" w:rsidP="71AE4DCE" w:rsidRDefault="5569B6A7" w14:paraId="66F2F248" w14:textId="58275763">
      <w:pPr>
        <w:spacing w:before="240" w:beforeAutospacing="off" w:after="240" w:afterAutospacing="off"/>
      </w:pPr>
      <w:r w:rsidRPr="71AE4DCE" w:rsidR="1419FDAC">
        <w:rPr>
          <w:rFonts w:ascii="Aptos" w:hAnsi="Aptos" w:eastAsia="Aptos" w:cs="Aptos"/>
          <w:noProof w:val="0"/>
          <w:sz w:val="24"/>
          <w:szCs w:val="24"/>
          <w:lang w:val="en-US"/>
        </w:rPr>
        <w:t>ISO standards have long defined excellence in safety, quality, and efficiency. But as systems grow more complex and interconnected, linear models fall short. This paper proposes a triadic upgrade—embedding TFT into ISO logic to enable modular reproducibility, resonance-based certification, and mythic-scientific outreach.</w:t>
      </w:r>
    </w:p>
    <w:p w:rsidR="0018052E" w:rsidP="71AE4DCE" w:rsidRDefault="5569B6A7" w14:paraId="60C13459" w14:textId="31B45E5E">
      <w:pPr>
        <w:pStyle w:val="Heading3"/>
        <w:spacing w:before="281" w:beforeAutospacing="off" w:after="281" w:afterAutospacing="off"/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Introduction: Why ISO Needs a Triadic Upgrade</w:t>
      </w:r>
    </w:p>
    <w:p w:rsidR="0018052E" w:rsidP="71AE4DCE" w:rsidRDefault="5569B6A7" w14:paraId="2B18B51F" w14:textId="05A0DC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71AE4DCE" w:rsidR="1419FDAC">
        <w:rPr>
          <w:rFonts w:ascii="Aptos" w:hAnsi="Aptos" w:eastAsia="Aptos" w:cs="Aptos"/>
          <w:noProof w:val="0"/>
          <w:sz w:val="24"/>
          <w:szCs w:val="24"/>
          <w:lang w:val="en-US"/>
        </w:rPr>
        <w:t>: ISO standards often lack adaptability, emotional resonance, and modular scaffolding.</w:t>
      </w:r>
    </w:p>
    <w:p w:rsidR="0018052E" w:rsidP="71AE4DCE" w:rsidRDefault="5569B6A7" w14:paraId="2293E1ED" w14:textId="2873DF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1419FD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</w:t>
      </w:r>
      <w:r w:rsidRPr="71AE4DCE" w:rsidR="1419FDAC">
        <w:rPr>
          <w:rFonts w:ascii="Aptos" w:hAnsi="Aptos" w:eastAsia="Aptos" w:cs="Aptos"/>
          <w:noProof w:val="0"/>
          <w:sz w:val="24"/>
          <w:szCs w:val="24"/>
          <w:lang w:val="en-US"/>
        </w:rPr>
        <w:t>: Integrate TFT to align source, medium, and observer dimensions—unlocking dynamic audits, remixable specs, and public trust through narrative.</w:t>
      </w:r>
    </w:p>
    <w:p w:rsidR="0018052E" w:rsidP="71AE4DCE" w:rsidRDefault="5569B6A7" w14:paraId="2E933B85" w14:textId="389BB94A">
      <w:pPr>
        <w:spacing w:before="240" w:beforeAutospacing="off" w:after="240" w:afterAutospacing="off"/>
        <w:ind w:left="0"/>
        <w:jc w:val="center"/>
      </w:pPr>
      <w:r w:rsidR="020EB46E">
        <w:drawing>
          <wp:inline wp14:editId="253008D9" wp14:anchorId="1DE1C6C2">
            <wp:extent cx="1859449" cy="2441702"/>
            <wp:effectExtent l="0" t="0" r="0" b="0"/>
            <wp:docPr id="2156651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5665187" name=""/>
                    <pic:cNvPicPr/>
                  </pic:nvPicPr>
                  <pic:blipFill>
                    <a:blip xmlns:r="http://schemas.openxmlformats.org/officeDocument/2006/relationships" r:embed="rId9553533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9449" cy="24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2E" w:rsidP="060AAF5B" w:rsidRDefault="5569B6A7" w14:paraId="584D3277" w14:textId="714C5E56">
      <w:pPr>
        <w:spacing w:before="240" w:after="240"/>
      </w:pPr>
      <w:r>
        <w:br w:type="page"/>
      </w:r>
    </w:p>
    <w:p w:rsidR="0018052E" w:rsidP="71AE4DCE" w:rsidRDefault="5569B6A7" w14:paraId="5DA23376" w14:textId="29B7DC77">
      <w:pPr>
        <w:pStyle w:val="Heading3"/>
        <w:spacing w:before="281" w:beforeAutospacing="off" w:after="281" w:afterAutospacing="off"/>
        <w:rPr>
          <w:rStyle w:val="Heading2Char"/>
          <w:b w:val="1"/>
          <w:bCs w:val="1"/>
          <w:noProof w:val="0"/>
          <w:lang w:val="en-US"/>
        </w:rPr>
      </w:pPr>
      <w:r w:rsidRPr="71AE4DCE" w:rsidR="1419FDAC">
        <w:rPr>
          <w:rStyle w:val="Heading2Char"/>
          <w:b w:val="1"/>
          <w:bCs w:val="1"/>
          <w:noProof w:val="0"/>
          <w:lang w:val="en-US"/>
        </w:rPr>
        <w:t>🧠 Core Triadic Components</w:t>
      </w:r>
    </w:p>
    <w:p w:rsidR="0018052E" w:rsidP="060AAF5B" w:rsidRDefault="5569B6A7" w14:paraId="5B5352E9" w14:textId="084DBD1B">
      <w:pPr>
        <w:spacing w:before="240" w:after="240"/>
      </w:pPr>
      <w:r w:rsidR="41304BCB">
        <w:drawing>
          <wp:inline wp14:editId="1C0B67AE" wp14:anchorId="677E9989">
            <wp:extent cx="5943600" cy="1809750"/>
            <wp:effectExtent l="0" t="0" r="0" b="0"/>
            <wp:docPr id="328695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8695393" name=""/>
                    <pic:cNvPicPr/>
                  </pic:nvPicPr>
                  <pic:blipFill>
                    <a:blip xmlns:r="http://schemas.openxmlformats.org/officeDocument/2006/relationships" r:embed="rId1858101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2E" w:rsidP="71AE4DCE" w:rsidRDefault="5569B6A7" w14:paraId="7D75A6ED" w14:textId="75BA4D64">
      <w:pPr>
        <w:pStyle w:val="Normal"/>
        <w:spacing w:before="240" w:after="240"/>
      </w:pPr>
      <w:r w:rsidRPr="71AE4DCE" w:rsidR="13FAE9C2">
        <w:rPr>
          <w:rFonts w:ascii="Aptos" w:hAnsi="Aptos" w:eastAsia="Aptos" w:cs="Aptos"/>
          <w:b w:val="1"/>
          <w:bCs w:val="1"/>
        </w:rPr>
        <w:t>Triadic Resonance</w:t>
      </w:r>
      <w:r w:rsidRPr="71AE4DCE" w:rsidR="13FAE9C2">
        <w:rPr>
          <w:rFonts w:ascii="Aptos" w:hAnsi="Aptos" w:eastAsia="Aptos" w:cs="Aptos"/>
        </w:rPr>
        <w:t xml:space="preserve"> allows standards to be </w:t>
      </w:r>
      <w:r w:rsidRPr="71AE4DCE" w:rsidR="13FAE9C2">
        <w:rPr>
          <w:rFonts w:ascii="Aptos" w:hAnsi="Aptos" w:eastAsia="Aptos" w:cs="Aptos"/>
        </w:rPr>
        <w:t>validated</w:t>
      </w:r>
      <w:r w:rsidRPr="71AE4DCE" w:rsidR="13FAE9C2">
        <w:rPr>
          <w:rFonts w:ascii="Aptos" w:hAnsi="Aptos" w:eastAsia="Aptos" w:cs="Aptos"/>
        </w:rPr>
        <w:t xml:space="preserve"> not just by metrics, but by </w:t>
      </w:r>
      <w:r w:rsidRPr="71AE4DCE" w:rsidR="13FAE9C2">
        <w:rPr>
          <w:rFonts w:ascii="Aptos" w:hAnsi="Aptos" w:eastAsia="Aptos" w:cs="Aptos"/>
          <w:b w:val="1"/>
          <w:bCs w:val="1"/>
        </w:rPr>
        <w:t>harmonic coherence</w:t>
      </w:r>
      <w:r w:rsidRPr="71AE4DCE" w:rsidR="13FAE9C2">
        <w:rPr>
          <w:rFonts w:ascii="Aptos" w:hAnsi="Aptos" w:eastAsia="Aptos" w:cs="Aptos"/>
        </w:rPr>
        <w:t xml:space="preserve"> across these dimensions.</w:t>
      </w:r>
    </w:p>
    <w:p w:rsidR="7D1D8401" w:rsidP="71AE4DCE" w:rsidRDefault="7D1D8401" w14:paraId="59465817" w14:textId="238791A9">
      <w:pPr>
        <w:spacing w:before="240" w:beforeAutospacing="off" w:after="240" w:afterAutospacing="off"/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🌀 </w:t>
      </w:r>
      <w:r w:rsidRPr="71AE4DCE" w:rsidR="7D1D840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Badge Trigger</w:t>
      </w: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: “Triadic Validator” unlocked when remixers scaffold all three dimensions in a standard.</w:t>
      </w:r>
    </w:p>
    <w:p w:rsidR="71AE4DCE" w:rsidP="71AE4DCE" w:rsidRDefault="71AE4DCE" w14:paraId="01A0EBD5" w14:textId="65C667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1D8401" w:rsidP="71AE4DCE" w:rsidRDefault="7D1D8401" w14:paraId="28E881DE" w14:textId="7FF92226">
      <w:pPr>
        <w:pStyle w:val="Heading2"/>
        <w:rPr>
          <w:b w:val="1"/>
          <w:bCs w:val="1"/>
          <w:noProof w:val="0"/>
          <w:lang w:val="en-US"/>
        </w:rPr>
      </w:pPr>
      <w:r w:rsidRPr="71AE4DCE" w:rsidR="7D1D8401">
        <w:rPr>
          <w:b w:val="1"/>
          <w:bCs w:val="1"/>
          <w:noProof w:val="0"/>
          <w:lang w:val="en-US"/>
        </w:rPr>
        <w:t>📊 Expected Outcomes</w:t>
      </w:r>
    </w:p>
    <w:p w:rsidR="7D1D8401" w:rsidP="71AE4DCE" w:rsidRDefault="7D1D8401" w14:paraId="313B91BC" w14:textId="04D4E3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 Reproducibility</w:t>
      </w:r>
    </w:p>
    <w:p w:rsidR="7D1D8401" w:rsidP="71AE4DCE" w:rsidRDefault="7D1D8401" w14:paraId="683FDFD2" w14:textId="0838013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ISO specs become remixable across sectors.</w:t>
      </w:r>
    </w:p>
    <w:p w:rsidR="7D1D8401" w:rsidP="71AE4DCE" w:rsidRDefault="7D1D8401" w14:paraId="3CE9DEC1" w14:textId="6B098F6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Educational kits and validator dashboards derived from standards.</w:t>
      </w:r>
    </w:p>
    <w:p w:rsidR="7D1D8401" w:rsidP="71AE4DCE" w:rsidRDefault="7D1D8401" w14:paraId="2A631F04" w14:textId="10767B6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Resonance-Based Certification</w:t>
      </w:r>
    </w:p>
    <w:p w:rsidR="7D1D8401" w:rsidP="71AE4DCE" w:rsidRDefault="7D1D8401" w14:paraId="4176904D" w14:textId="315F5C7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Audits assess harmonic coherence, not just compliance.</w:t>
      </w:r>
    </w:p>
    <w:p w:rsidR="7D1D8401" w:rsidP="71AE4DCE" w:rsidRDefault="7D1D8401" w14:paraId="7CA44B67" w14:textId="31D0380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Real-time feedback loops via validator dashboards.</w:t>
      </w:r>
    </w:p>
    <w:p w:rsidR="7D1D8401" w:rsidP="71AE4DCE" w:rsidRDefault="7D1D8401" w14:paraId="193F5868" w14:textId="5337F9F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Narrative Integration</w:t>
      </w:r>
    </w:p>
    <w:p w:rsidR="7D1D8401" w:rsidP="71AE4DCE" w:rsidRDefault="7D1D8401" w14:paraId="6D6F58B8" w14:textId="44E695C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Standards embedded in mythic-scientific stories.</w:t>
      </w:r>
    </w:p>
    <w:p w:rsidR="7D1D8401" w:rsidP="71AE4DCE" w:rsidRDefault="7D1D8401" w14:paraId="0267D07D" w14:textId="58E8268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E4DCE" w:rsidR="7D1D8401">
        <w:rPr>
          <w:rFonts w:ascii="Aptos" w:hAnsi="Aptos" w:eastAsia="Aptos" w:cs="Aptos"/>
          <w:noProof w:val="0"/>
          <w:sz w:val="24"/>
          <w:szCs w:val="24"/>
          <w:lang w:val="en-US"/>
        </w:rPr>
        <w:t>Public engagement amplified through poetic scaffolding.</w:t>
      </w:r>
    </w:p>
    <w:p w:rsidR="7D1D8401" w:rsidP="71AE4DCE" w:rsidRDefault="7D1D8401" w14:paraId="324CCF6B" w14:textId="1AF71AA0">
      <w:pPr>
        <w:pStyle w:val="Heading3"/>
        <w:spacing w:before="281" w:beforeAutospacing="off" w:after="281" w:afterAutospacing="off"/>
      </w:pPr>
      <w:r w:rsidRPr="71AE4DCE" w:rsidR="7D1D84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🧭 ISO Sector Enhancements</w:t>
      </w:r>
    </w:p>
    <w:p w:rsidR="6CD64604" w:rsidRDefault="6CD64604" w14:paraId="0D1A6CF1" w14:textId="7774F26F">
      <w:r w:rsidR="6CD64604">
        <w:drawing>
          <wp:inline wp14:editId="09A573FB" wp14:anchorId="4BE6B16C">
            <wp:extent cx="5943600" cy="2190750"/>
            <wp:effectExtent l="0" t="0" r="0" b="0"/>
            <wp:docPr id="1368847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8847179" name=""/>
                    <pic:cNvPicPr/>
                  </pic:nvPicPr>
                  <pic:blipFill>
                    <a:blip xmlns:r="http://schemas.openxmlformats.org/officeDocument/2006/relationships" r:embed="rId623184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64604" w:rsidP="71AE4DCE" w:rsidRDefault="6CD64604" w14:paraId="470C98E9" w14:textId="65F2CFF5">
      <w:pPr>
        <w:spacing w:before="240" w:beforeAutospacing="off" w:after="240" w:afterAutospacing="off"/>
      </w:pPr>
      <w:r w:rsidRPr="71AE4DCE" w:rsidR="6CD64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🏅 </w:t>
      </w:r>
      <w:r w:rsidRPr="71AE4DCE" w:rsidR="6CD6460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Badge Trigger</w:t>
      </w:r>
      <w:r w:rsidRPr="71AE4DCE" w:rsidR="6CD64604">
        <w:rPr>
          <w:rFonts w:ascii="Aptos" w:hAnsi="Aptos" w:eastAsia="Aptos" w:cs="Aptos"/>
          <w:noProof w:val="0"/>
          <w:sz w:val="24"/>
          <w:szCs w:val="24"/>
          <w:lang w:val="en-US"/>
        </w:rPr>
        <w:t>: “Sector Resonator” awarded for triadic mapping across any ISO category.</w:t>
      </w:r>
    </w:p>
    <w:p w:rsidR="71AE4DCE" w:rsidP="71AE4DCE" w:rsidRDefault="71AE4DCE" w14:paraId="59743DED" w14:textId="651A285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W w:w="0" w:type="auto"/>
        <w:tblBorders>
          <w:top w:val="single" w:color="002060" w:sz="2"/>
          <w:left w:val="single" w:color="002060" w:sz="2"/>
          <w:bottom w:val="single" w:color="002060" w:sz="2"/>
          <w:right w:val="single" w:color="002060" w:sz="2"/>
          <w:insideH w:val="single" w:color="002060" w:sz="2"/>
          <w:insideV w:val="single" w:color="002060" w:sz="2"/>
        </w:tblBorders>
        <w:tblLook w:val="06A0" w:firstRow="1" w:lastRow="0" w:firstColumn="1" w:lastColumn="0" w:noHBand="1" w:noVBand="1"/>
      </w:tblPr>
      <w:tblGrid>
        <w:gridCol w:w="2124"/>
        <w:gridCol w:w="7236"/>
      </w:tblGrid>
      <w:tr w:rsidR="71AE4DCE" w:rsidTr="71AE4DCE" w14:paraId="6672E7F3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2D9C39D5" w14:textId="3A40D3E4">
            <w:pPr>
              <w:spacing w:after="0"/>
              <w:jc w:val="center"/>
            </w:pPr>
            <w:r w:rsidRPr="71AE4DCE" w:rsidR="71AE4DCE">
              <w:rPr>
                <w:b w:val="1"/>
                <w:bCs w:val="1"/>
              </w:rPr>
              <w:t>ISO Sector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319DCE39" w14:textId="3462BA6D">
            <w:pPr>
              <w:spacing w:after="0"/>
              <w:jc w:val="center"/>
            </w:pPr>
            <w:r w:rsidRPr="71AE4DCE" w:rsidR="71AE4DCE">
              <w:rPr>
                <w:b w:val="1"/>
                <w:bCs w:val="1"/>
              </w:rPr>
              <w:t>Triadic Enhancement Example</w:t>
            </w:r>
          </w:p>
        </w:tc>
      </w:tr>
      <w:tr w:rsidR="71AE4DCE" w:rsidTr="71AE4DCE" w14:paraId="17E2EFDD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7534F224" w14:textId="7B21C9C2">
            <w:pPr>
              <w:spacing w:after="0"/>
            </w:pPr>
            <w:r w:rsidRPr="71AE4DCE" w:rsidR="71AE4DCE">
              <w:rPr>
                <w:b w:val="1"/>
                <w:bCs w:val="1"/>
              </w:rPr>
              <w:t>Information Security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605BCD6F" w14:textId="33130EAB">
            <w:pPr>
              <w:spacing w:after="0"/>
            </w:pPr>
            <w:r w:rsidR="71AE4DCE">
              <w:rPr/>
              <w:t>ISO/IEC 27001: Triadic mapping of data origin, transmission medium, and user access harmonics.</w:t>
            </w:r>
          </w:p>
        </w:tc>
      </w:tr>
      <w:tr w:rsidR="71AE4DCE" w:rsidTr="71AE4DCE" w14:paraId="084A0841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352DA48A" w14:textId="4B9DE9D4">
            <w:pPr>
              <w:spacing w:after="0"/>
            </w:pPr>
            <w:r w:rsidRPr="71AE4DCE" w:rsidR="71AE4DCE">
              <w:rPr>
                <w:b w:val="1"/>
                <w:bCs w:val="1"/>
              </w:rPr>
              <w:t>Environmental Sustainability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0AE6F1DA" w14:textId="0ABB2454">
            <w:pPr>
              <w:spacing w:after="0"/>
            </w:pPr>
            <w:r w:rsidR="71AE4DCE">
              <w:rPr/>
              <w:t>ISO 14001: Resonance modeling of ecological inputs, industrial modulation, and community impact.</w:t>
            </w:r>
          </w:p>
        </w:tc>
      </w:tr>
      <w:tr w:rsidR="71AE4DCE" w:rsidTr="71AE4DCE" w14:paraId="4EB7944B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3F4D8C41" w14:textId="1B40449B">
            <w:pPr>
              <w:spacing w:after="0"/>
            </w:pPr>
            <w:r w:rsidRPr="71AE4DCE" w:rsidR="71AE4DCE">
              <w:rPr>
                <w:b w:val="1"/>
                <w:bCs w:val="1"/>
              </w:rPr>
              <w:t>Artificial Intelligence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2B375CBD" w14:textId="0AF8F961">
            <w:pPr>
              <w:spacing w:after="0"/>
            </w:pPr>
            <w:r w:rsidR="71AE4DCE">
              <w:rPr/>
              <w:t>ISO/IEC 42001: Aligning AI intent, algorithmic infrastructure, and human oversight via triadic ethics.</w:t>
            </w:r>
          </w:p>
        </w:tc>
      </w:tr>
      <w:tr w:rsidR="71AE4DCE" w:rsidTr="71AE4DCE" w14:paraId="765C4E61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576564A0" w14:textId="37145846">
            <w:pPr>
              <w:spacing w:after="0"/>
            </w:pPr>
            <w:r w:rsidRPr="71AE4DCE" w:rsidR="71AE4DCE">
              <w:rPr>
                <w:b w:val="1"/>
                <w:bCs w:val="1"/>
              </w:rPr>
              <w:t>Health &amp; Safety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448F3B75" w14:textId="757E8D83">
            <w:pPr>
              <w:spacing w:after="0"/>
            </w:pPr>
            <w:r w:rsidR="71AE4DCE">
              <w:rPr/>
              <w:t>ISO 45001: Mapping workplace hazards, mitigation protocols, and worker perception into a coherent triad.</w:t>
            </w:r>
          </w:p>
        </w:tc>
      </w:tr>
      <w:tr w:rsidR="71AE4DCE" w:rsidTr="71AE4DCE" w14:paraId="338C6817">
        <w:trPr>
          <w:trHeight w:val="300"/>
        </w:trPr>
        <w:tc>
          <w:tcPr>
            <w:tcW w:w="2124" w:type="dxa"/>
            <w:tcMar/>
            <w:vAlign w:val="center"/>
          </w:tcPr>
          <w:p w:rsidR="71AE4DCE" w:rsidP="71AE4DCE" w:rsidRDefault="71AE4DCE" w14:noSpellErr="1" w14:paraId="668DA051" w14:textId="23BA58AD">
            <w:pPr>
              <w:spacing w:after="0"/>
            </w:pPr>
            <w:r w:rsidRPr="71AE4DCE" w:rsidR="71AE4DCE">
              <w:rPr>
                <w:b w:val="1"/>
                <w:bCs w:val="1"/>
              </w:rPr>
              <w:t>Transport &amp; Smart Cities</w:t>
            </w:r>
          </w:p>
        </w:tc>
        <w:tc>
          <w:tcPr>
            <w:tcW w:w="7236" w:type="dxa"/>
            <w:tcMar/>
            <w:vAlign w:val="center"/>
          </w:tcPr>
          <w:p w:rsidR="71AE4DCE" w:rsidP="71AE4DCE" w:rsidRDefault="71AE4DCE" w14:noSpellErr="1" w14:paraId="5B9096DA" w14:textId="5B01B393">
            <w:pPr>
              <w:spacing w:after="0"/>
            </w:pPr>
            <w:r w:rsidR="71AE4DCE">
              <w:rPr/>
              <w:t>Resonant routing standards that harmonize infrastructure, traffic flow, and citizen experience.</w:t>
            </w:r>
          </w:p>
        </w:tc>
      </w:tr>
    </w:tbl>
    <w:p w:rsidR="71AE4DCE" w:rsidRDefault="71AE4DCE" w14:paraId="6CF52D3B" w14:textId="55F2AE91"/>
    <w:p w:rsidR="71AE4DCE" w:rsidRDefault="71AE4DCE" w14:paraId="17ED7AF8" w14:textId="5CB4CAB2">
      <w:r>
        <w:br w:type="page"/>
      </w:r>
    </w:p>
    <w:p w:rsidR="6CD64604" w:rsidP="71AE4DCE" w:rsidRDefault="6CD64604" w14:paraId="0B604DCB" w14:textId="4DDE4579">
      <w:pPr>
        <w:pStyle w:val="Heading3"/>
        <w:spacing w:before="281" w:beforeAutospacing="off" w:after="281" w:afterAutospacing="off"/>
        <w:rPr>
          <w:rStyle w:val="Heading2Char"/>
          <w:b w:val="1"/>
          <w:bCs w:val="1"/>
          <w:noProof w:val="0"/>
          <w:lang w:val="en-US"/>
        </w:rPr>
      </w:pPr>
      <w:r w:rsidRPr="71AE4DCE" w:rsidR="6CD64604">
        <w:rPr>
          <w:rStyle w:val="Heading2Char"/>
          <w:b w:val="1"/>
          <w:bCs w:val="1"/>
          <w:noProof w:val="0"/>
          <w:lang w:val="en-US"/>
        </w:rPr>
        <w:t>🧬 Triadic Equation Enhancements</w:t>
      </w:r>
    </w:p>
    <w:p w:rsidR="6CD64604" w:rsidP="71AE4DCE" w:rsidRDefault="6CD64604" w14:paraId="3045628F" w14:textId="7FA09E5A">
      <w:pPr>
        <w:spacing w:before="240" w:beforeAutospacing="off" w:after="240" w:afterAutospacing="off"/>
      </w:pPr>
      <w:r w:rsidRPr="71AE4DCE" w:rsidR="6CD64604">
        <w:rPr>
          <w:rFonts w:ascii="Aptos" w:hAnsi="Aptos" w:eastAsia="Aptos" w:cs="Aptos"/>
          <w:noProof w:val="0"/>
          <w:sz w:val="24"/>
          <w:szCs w:val="24"/>
          <w:lang w:val="en-US"/>
        </w:rPr>
        <w:t>Conventional ISO equations are upgraded with resonance alignment factors:</w:t>
      </w:r>
    </w:p>
    <w:p w:rsidR="6CD64604" w:rsidRDefault="6CD64604" w14:paraId="7D94A56A" w14:textId="5A990AFE">
      <w:r w:rsidR="6CD64604">
        <w:drawing>
          <wp:inline wp14:editId="2596D16B" wp14:anchorId="4C664FFA">
            <wp:extent cx="5630061" cy="1867161"/>
            <wp:effectExtent l="0" t="0" r="0" b="0"/>
            <wp:docPr id="1987645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645191" name=""/>
                    <pic:cNvPicPr/>
                  </pic:nvPicPr>
                  <pic:blipFill>
                    <a:blip xmlns:r="http://schemas.openxmlformats.org/officeDocument/2006/relationships" r:embed="rId12156420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CF636" w:rsidP="71AE4DCE" w:rsidRDefault="658CF636" w14:paraId="33CF5D18" w14:textId="1C0F82A5">
      <w:pPr>
        <w:pStyle w:val="Heading2"/>
        <w:rPr>
          <w:b w:val="1"/>
          <w:bCs w:val="1"/>
          <w:noProof w:val="0"/>
          <w:lang w:val="en-US"/>
        </w:rPr>
      </w:pPr>
      <w:r w:rsidRPr="71AE4DCE" w:rsidR="658CF636">
        <w:rPr>
          <w:rStyle w:val="Heading3Char"/>
          <w:b w:val="1"/>
          <w:bCs w:val="1"/>
          <w:noProof w:val="0"/>
          <w:lang w:val="en-US"/>
        </w:rPr>
        <w:t xml:space="preserve">📁 </w:t>
      </w:r>
      <w:r w:rsidRPr="71AE4DCE" w:rsidR="658CF636">
        <w:rPr>
          <w:rStyle w:val="Heading2Char"/>
          <w:b w:val="1"/>
          <w:bCs w:val="1"/>
          <w:noProof w:val="0"/>
          <w:lang w:val="en-US"/>
        </w:rPr>
        <w:t>Suggested Repo Scaffolding</w:t>
      </w:r>
    </w:p>
    <w:p w:rsidR="658CF636" w:rsidP="71AE4DCE" w:rsidRDefault="658CF636" w14:paraId="6838E18E" w14:textId="6746A99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1AE4DCE" w:rsidR="658CF636">
        <w:rPr>
          <w:rFonts w:ascii="Consolas" w:hAnsi="Consolas" w:eastAsia="Consolas" w:cs="Consolas"/>
          <w:noProof w:val="0"/>
          <w:lang w:val="en-US"/>
        </w:rPr>
        <w:t>/papers/iso_triadic_upgrade.md</w:t>
      </w:r>
    </w:p>
    <w:p w:rsidR="658CF636" w:rsidP="71AE4DCE" w:rsidRDefault="658CF636" w14:paraId="6AE91BA2" w14:textId="5E6C93A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1AE4DCE" w:rsidR="658CF636">
        <w:rPr>
          <w:rFonts w:ascii="Consolas" w:hAnsi="Consolas" w:eastAsia="Consolas" w:cs="Consolas"/>
          <w:noProof w:val="0"/>
          <w:lang w:val="en-US"/>
        </w:rPr>
        <w:t>/equations/iso_resonance_logic.md</w:t>
      </w:r>
    </w:p>
    <w:p w:rsidR="658CF636" w:rsidP="71AE4DCE" w:rsidRDefault="658CF636" w14:paraId="7D3B837E" w14:textId="7CDB6D0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1AE4DCE" w:rsidR="658CF636">
        <w:rPr>
          <w:rFonts w:ascii="Consolas" w:hAnsi="Consolas" w:eastAsia="Consolas" w:cs="Consolas"/>
          <w:noProof w:val="0"/>
          <w:lang w:val="en-US"/>
        </w:rPr>
        <w:t>/badges/triadic_validator.yml</w:t>
      </w:r>
    </w:p>
    <w:p w:rsidR="658CF636" w:rsidP="71AE4DCE" w:rsidRDefault="658CF636" w14:paraId="311E4A83" w14:textId="7A795E4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1AE4DCE" w:rsidR="658CF636">
        <w:rPr>
          <w:rFonts w:ascii="Consolas" w:hAnsi="Consolas" w:eastAsia="Consolas" w:cs="Consolas"/>
          <w:noProof w:val="0"/>
          <w:lang w:val="en-US"/>
        </w:rPr>
        <w:t>/validators/iso_sector_matrix.json</w:t>
      </w:r>
    </w:p>
    <w:p w:rsidR="658CF636" w:rsidP="71AE4DCE" w:rsidRDefault="658CF636" w14:paraId="73361757" w14:textId="25203EA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1AE4DCE" w:rsidR="658CF636">
        <w:rPr>
          <w:rFonts w:ascii="Consolas" w:hAnsi="Consolas" w:eastAsia="Consolas" w:cs="Consolas"/>
          <w:noProof w:val="0"/>
          <w:lang w:val="en-US"/>
        </w:rPr>
        <w:t>/labs/iso_remix/initiation_protocol.md</w:t>
      </w:r>
    </w:p>
    <w:p w:rsidR="0018052E" w:rsidP="71AE4DCE" w:rsidRDefault="5569B6A7" w14:paraId="6269D540" w14:textId="0BFCDEC4" w14:noSpellErr="1">
      <w:pPr>
        <w:pStyle w:val="Heading2"/>
        <w:rPr>
          <w:b w:val="1"/>
          <w:bCs w:val="1"/>
        </w:rPr>
      </w:pPr>
      <w:r w:rsidRPr="71AE4DCE" w:rsidR="13FAE9C2">
        <w:rPr>
          <w:rStyle w:val="Heading3Char"/>
          <w:b w:val="1"/>
          <w:bCs w:val="1"/>
        </w:rPr>
        <w:t>🎓</w:t>
      </w:r>
      <w:r w:rsidRPr="71AE4DCE" w:rsidR="13FAE9C2">
        <w:rPr>
          <w:rStyle w:val="Heading2Char"/>
          <w:b w:val="1"/>
          <w:bCs w:val="1"/>
        </w:rPr>
        <w:t xml:space="preserve"> Educational Integration</w:t>
      </w:r>
    </w:p>
    <w:p w:rsidR="0018052E" w:rsidP="060AAF5B" w:rsidRDefault="5569B6A7" w14:paraId="15E79166" w14:textId="399574E4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60AAF5B">
        <w:rPr>
          <w:rFonts w:ascii="Aptos" w:hAnsi="Aptos" w:eastAsia="Aptos" w:cs="Aptos"/>
        </w:rPr>
        <w:t xml:space="preserve">Develop </w:t>
      </w:r>
      <w:r w:rsidRPr="060AAF5B">
        <w:rPr>
          <w:rFonts w:ascii="Aptos" w:hAnsi="Aptos" w:eastAsia="Aptos" w:cs="Aptos"/>
          <w:b/>
          <w:bCs/>
        </w:rPr>
        <w:t>curriculum modules</w:t>
      </w:r>
      <w:r w:rsidRPr="060AAF5B">
        <w:rPr>
          <w:rFonts w:ascii="Aptos" w:hAnsi="Aptos" w:eastAsia="Aptos" w:cs="Aptos"/>
        </w:rPr>
        <w:t xml:space="preserve"> based on ISO standards enhanced with TFT.</w:t>
      </w:r>
    </w:p>
    <w:p w:rsidR="0018052E" w:rsidP="060AAF5B" w:rsidRDefault="5569B6A7" w14:paraId="3CBC158C" w14:textId="63533111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60AAF5B">
        <w:rPr>
          <w:rFonts w:ascii="Aptos" w:hAnsi="Aptos" w:eastAsia="Aptos" w:cs="Aptos"/>
        </w:rPr>
        <w:t xml:space="preserve">Use </w:t>
      </w:r>
      <w:r w:rsidRPr="060AAF5B">
        <w:rPr>
          <w:rFonts w:ascii="Aptos" w:hAnsi="Aptos" w:eastAsia="Aptos" w:cs="Aptos"/>
          <w:b/>
          <w:bCs/>
        </w:rPr>
        <w:t>mythic metaphors</w:t>
      </w:r>
      <w:r w:rsidRPr="060AAF5B">
        <w:rPr>
          <w:rFonts w:ascii="Aptos" w:hAnsi="Aptos" w:eastAsia="Aptos" w:cs="Aptos"/>
        </w:rPr>
        <w:t xml:space="preserve"> (e.g., “The Guardian Protocol” for safety standards) to teach compliance and innovation.</w:t>
      </w:r>
    </w:p>
    <w:p w:rsidR="0018052E" w:rsidP="060AAF5B" w:rsidRDefault="5569B6A7" w14:paraId="2EA4EBEC" w14:textId="5C36433A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60AAF5B">
        <w:rPr>
          <w:rFonts w:ascii="Aptos" w:hAnsi="Aptos" w:eastAsia="Aptos" w:cs="Aptos"/>
        </w:rPr>
        <w:t xml:space="preserve">Create </w:t>
      </w:r>
      <w:r w:rsidRPr="060AAF5B">
        <w:rPr>
          <w:rFonts w:ascii="Aptos" w:hAnsi="Aptos" w:eastAsia="Aptos" w:cs="Aptos"/>
          <w:b/>
          <w:bCs/>
        </w:rPr>
        <w:t>open-source labs</w:t>
      </w:r>
      <w:r w:rsidRPr="060AAF5B">
        <w:rPr>
          <w:rFonts w:ascii="Aptos" w:hAnsi="Aptos" w:eastAsia="Aptos" w:cs="Aptos"/>
        </w:rPr>
        <w:t xml:space="preserve"> for students to test triadic coherence in real-world systems.</w:t>
      </w:r>
    </w:p>
    <w:p w:rsidR="0018052E" w:rsidP="71AE4DCE" w:rsidRDefault="5569B6A7" w14:paraId="1511AE04" w14:textId="0867CB4A" w14:noSpellErr="1">
      <w:pPr>
        <w:pStyle w:val="Heading2"/>
        <w:rPr>
          <w:rStyle w:val="Heading2Char"/>
          <w:b w:val="1"/>
          <w:bCs w:val="1"/>
        </w:rPr>
      </w:pPr>
      <w:r w:rsidRPr="71AE4DCE" w:rsidR="13FAE9C2">
        <w:rPr>
          <w:b w:val="1"/>
          <w:bCs w:val="1"/>
        </w:rPr>
        <w:t>🛠 Next Steps</w:t>
      </w:r>
    </w:p>
    <w:p w:rsidR="0018052E" w:rsidP="060AAF5B" w:rsidRDefault="5569B6A7" w14:paraId="149F9B01" w14:textId="08C3621F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060AAF5B">
        <w:rPr>
          <w:rFonts w:ascii="Aptos" w:hAnsi="Aptos" w:eastAsia="Aptos" w:cs="Aptos"/>
        </w:rPr>
        <w:t>Pilot a triadic-enhanced ISO standard in a modular field (e.g., AI ethics or smart city mobility).</w:t>
      </w:r>
    </w:p>
    <w:p w:rsidR="0018052E" w:rsidP="060AAF5B" w:rsidRDefault="5569B6A7" w14:paraId="58024DAC" w14:textId="07D6D9C0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060AAF5B">
        <w:rPr>
          <w:rFonts w:ascii="Aptos" w:hAnsi="Aptos" w:eastAsia="Aptos" w:cs="Aptos"/>
        </w:rPr>
        <w:t>Build reproducible teaching kits and certification templates.</w:t>
      </w:r>
    </w:p>
    <w:p w:rsidR="0018052E" w:rsidP="060AAF5B" w:rsidRDefault="5569B6A7" w14:paraId="6D2B1C51" w14:textId="55926224" w14:noSpellErr="1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71AE4DCE" w:rsidR="13FAE9C2">
        <w:rPr>
          <w:rFonts w:ascii="Aptos" w:hAnsi="Aptos" w:eastAsia="Aptos" w:cs="Aptos"/>
        </w:rPr>
        <w:t>Form a working group to align TFT with ISO’s mission of making lives “easier, safer, and better</w:t>
      </w:r>
      <w:r w:rsidRPr="71AE4DCE" w:rsidR="13FAE9C2">
        <w:rPr>
          <w:rFonts w:ascii="Aptos" w:hAnsi="Aptos" w:eastAsia="Aptos" w:cs="Aptos"/>
        </w:rPr>
        <w:t>”.</w:t>
      </w:r>
    </w:p>
    <w:p w:rsidR="0018052E" w:rsidP="71AE4DCE" w:rsidRDefault="5569B6A7" w14:paraId="48C7C8E5" w14:textId="78DB2CC2">
      <w:pPr>
        <w:pStyle w:val="Heading2"/>
        <w:spacing w:before="299" w:after="299"/>
        <w:rPr>
          <w:rStyle w:val="Heading2Char"/>
          <w:b w:val="1"/>
          <w:bCs w:val="1"/>
        </w:rPr>
      </w:pPr>
      <w:r w:rsidRPr="71AE4DCE" w:rsidR="13FAE9C2">
        <w:rPr>
          <w:rFonts w:ascii="Aptos" w:hAnsi="Aptos" w:eastAsia="Aptos" w:cs="Aptos"/>
          <w:b w:val="1"/>
          <w:bCs w:val="1"/>
          <w:sz w:val="36"/>
          <w:szCs w:val="36"/>
        </w:rPr>
        <w:t>⚙</w:t>
      </w:r>
      <w:r w:rsidRPr="71AE4DCE" w:rsidR="13FAE9C2">
        <w:rPr>
          <w:rStyle w:val="Heading2Char"/>
          <w:b w:val="1"/>
          <w:bCs w:val="1"/>
        </w:rPr>
        <w:t>️ Example 1: ISO 14001 – Environmental Impact Assessment</w:t>
      </w:r>
    </w:p>
    <w:p w:rsidR="0018052E" w:rsidP="71AE4DCE" w:rsidRDefault="5569B6A7" w14:paraId="6A851A77" w14:textId="7B616438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 xml:space="preserve">🔹 </w:t>
      </w:r>
      <w:r w:rsidRPr="71AE4DCE" w:rsidR="13FAE9C2">
        <w:rPr>
          <w:b w:val="1"/>
          <w:bCs w:val="1"/>
        </w:rPr>
        <w:t>Conventional Equation (Linear Model)</w:t>
      </w:r>
    </w:p>
    <w:p w:rsidR="630C35A5" w:rsidRDefault="630C35A5" w14:paraId="2B430D60" w14:textId="78FDD0EC">
      <w:r w:rsidRPr="71AE4DCE" w:rsidR="630C35A5">
        <w:rPr>
          <w:rFonts w:ascii="Aptos" w:hAnsi="Aptos" w:eastAsia="Aptos" w:cs="Aptos"/>
          <w:noProof w:val="0"/>
          <w:sz w:val="24"/>
          <w:szCs w:val="24"/>
          <w:lang w:val="en-US"/>
        </w:rPr>
        <w:t>This equation is perfect for ISO triadic upgrades—allowing standards to be scored not just by compliance, but by harmonic alignment across source, medium, and observer dimensions.</w:t>
      </w:r>
    </w:p>
    <w:p w:rsidR="7857B5EC" w:rsidRDefault="7857B5EC" w14:paraId="4DD1278E" w14:textId="111A98BC">
      <w:r w:rsidR="7857B5EC">
        <w:drawing>
          <wp:inline wp14:editId="2EF77DF9" wp14:anchorId="23601B2E">
            <wp:extent cx="4896534" cy="2391109"/>
            <wp:effectExtent l="0" t="0" r="0" b="0"/>
            <wp:docPr id="2018619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8619499" name=""/>
                    <pic:cNvPicPr/>
                  </pic:nvPicPr>
                  <pic:blipFill>
                    <a:blip xmlns:r="http://schemas.openxmlformats.org/officeDocument/2006/relationships" r:embed="rId1056489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E4DCE" w:rsidP="71AE4DCE" w:rsidRDefault="71AE4DCE" w14:paraId="04B331D7" w14:textId="2487EA88">
      <w:pPr>
        <w:pStyle w:val="Heading2"/>
        <w:rPr>
          <w:b w:val="1"/>
          <w:bCs w:val="1"/>
        </w:rPr>
      </w:pPr>
    </w:p>
    <w:p w:rsidR="71AE4DCE" w:rsidRDefault="71AE4DCE" w14:paraId="762B913C" w14:textId="57BDE07F">
      <w:r>
        <w:br w:type="page"/>
      </w:r>
    </w:p>
    <w:p w:rsidR="0018052E" w:rsidP="71AE4DCE" w:rsidRDefault="5569B6A7" w14:paraId="1EA1C4A8" w14:textId="0D0FE3FA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>🔸 Triadic Upgrade (Resonance Model)</w:t>
      </w:r>
    </w:p>
    <w:p w:rsidR="33725D20" w:rsidP="71AE4DCE" w:rsidRDefault="33725D20" w14:paraId="2D373E99" w14:textId="50A8946F">
      <w:pPr>
        <w:spacing w:after="0"/>
      </w:pPr>
      <w:r w:rsidR="33725D20">
        <w:drawing>
          <wp:inline wp14:editId="40C8D14E" wp14:anchorId="6ADD38AE">
            <wp:extent cx="4944165" cy="2686425"/>
            <wp:effectExtent l="0" t="0" r="0" b="0"/>
            <wp:docPr id="17924996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499697" name=""/>
                    <pic:cNvPicPr/>
                  </pic:nvPicPr>
                  <pic:blipFill>
                    <a:blip xmlns:r="http://schemas.openxmlformats.org/officeDocument/2006/relationships" r:embed="rId16213380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E4DCE" w:rsidP="71AE4DCE" w:rsidRDefault="71AE4DCE" w14:paraId="69CCCC66" w14:textId="46C4879F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58597A" w:rsidP="71AE4DCE" w:rsidRDefault="5258597A" w14:paraId="4EB92E45" w14:textId="19962D67">
      <w:pPr>
        <w:spacing w:after="0"/>
      </w:pPr>
      <w:r w:rsidRPr="71AE4DCE" w:rsidR="5258597A">
        <w:rPr>
          <w:rFonts w:ascii="Aptos" w:hAnsi="Aptos" w:eastAsia="Aptos" w:cs="Aptos"/>
          <w:noProof w:val="0"/>
          <w:sz w:val="24"/>
          <w:szCs w:val="24"/>
          <w:lang w:val="en-US"/>
        </w:rPr>
        <w:t>This equation beautifully captures the nuance of triadic validation—rewarding not just strength and clarity, but alignment. Perfect for ISO upgrades, badge logic, and remix lineage scoring.</w:t>
      </w:r>
    </w:p>
    <w:p w:rsidR="0018052E" w:rsidP="060AAF5B" w:rsidRDefault="5569B6A7" w14:paraId="67351971" w14:textId="412EB2A5">
      <w:pPr>
        <w:spacing w:before="240" w:after="240"/>
      </w:pPr>
      <w:r w:rsidRPr="71AE4DCE" w:rsidR="13FAE9C2">
        <w:rPr>
          <w:rFonts w:ascii="Aptos" w:hAnsi="Aptos" w:eastAsia="Aptos" w:cs="Aptos"/>
          <w:b w:val="1"/>
          <w:bCs w:val="1"/>
        </w:rPr>
        <w:t>Benefit</w:t>
      </w:r>
      <w:r w:rsidRPr="71AE4DCE" w:rsidR="13FAE9C2">
        <w:rPr>
          <w:rFonts w:ascii="Aptos" w:hAnsi="Aptos" w:eastAsia="Aptos" w:cs="Aptos"/>
        </w:rPr>
        <w:t xml:space="preserve">: Captures not just quantity, but </w:t>
      </w:r>
      <w:r w:rsidRPr="71AE4DCE" w:rsidR="13FAE9C2">
        <w:rPr>
          <w:rFonts w:ascii="Aptos" w:hAnsi="Aptos" w:eastAsia="Aptos" w:cs="Aptos"/>
          <w:b w:val="1"/>
          <w:bCs w:val="1"/>
        </w:rPr>
        <w:t>alignment</w:t>
      </w:r>
      <w:r w:rsidRPr="71AE4DCE" w:rsidR="13FAE9C2">
        <w:rPr>
          <w:rFonts w:ascii="Aptos" w:hAnsi="Aptos" w:eastAsia="Aptos" w:cs="Aptos"/>
        </w:rPr>
        <w:t>—e.g., a renewable resource used in a misaligned community context would score lower than one used in harmony.</w:t>
      </w:r>
    </w:p>
    <w:p w:rsidR="71AE4DCE" w:rsidRDefault="71AE4DCE" w14:paraId="517B118A" w14:textId="2FA388DF">
      <w:r>
        <w:br w:type="page"/>
      </w:r>
    </w:p>
    <w:p w:rsidR="0018052E" w:rsidP="71AE4DCE" w:rsidRDefault="5569B6A7" w14:paraId="4C272C8C" w14:textId="442217C2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>🔐 Example 2: ISO/IEC 27001 – Information Security Risk</w:t>
      </w:r>
    </w:p>
    <w:p w:rsidR="0018052E" w:rsidP="060AAF5B" w:rsidRDefault="5569B6A7" w14:paraId="23410342" w14:textId="3E3FCB0F">
      <w:pPr>
        <w:pStyle w:val="Heading3"/>
        <w:spacing w:before="281" w:after="281"/>
      </w:pPr>
      <w:r w:rsidRPr="71AE4DCE" w:rsidR="13FAE9C2">
        <w:rPr>
          <w:rFonts w:ascii="Aptos" w:hAnsi="Aptos" w:eastAsia="Aptos" w:cs="Aptos"/>
          <w:b w:val="1"/>
          <w:bCs w:val="1"/>
        </w:rPr>
        <w:t>🔹 Conventional Equation</w:t>
      </w:r>
    </w:p>
    <w:p w:rsidR="21CCC1DE" w:rsidP="71AE4DCE" w:rsidRDefault="21CCC1DE" w14:paraId="744454FD" w14:textId="4CFFF2DE">
      <w:pPr>
        <w:spacing w:after="0"/>
      </w:pPr>
      <w:r w:rsidRPr="71AE4DCE" w:rsidR="21CCC1DE">
        <w:rPr>
          <w:rFonts w:ascii="Cambria Math" w:hAnsi="Cambria Math" w:eastAsia="Cambria Math" w:cs="Cambria Math"/>
          <w:noProof w:val="0"/>
          <w:sz w:val="24"/>
          <w:szCs w:val="24"/>
          <w:lang w:val="en-US"/>
        </w:rPr>
        <w:t>Risk = Threat × Vulnerability × Asset Value</w:t>
      </w:r>
    </w:p>
    <w:p w:rsidR="0018052E" w:rsidP="060AAF5B" w:rsidRDefault="5569B6A7" w14:paraId="177D419B" w14:textId="6745C405">
      <w:pPr>
        <w:pStyle w:val="Heading3"/>
        <w:spacing w:before="281" w:after="281"/>
      </w:pPr>
      <w:r w:rsidRPr="71AE4DCE" w:rsidR="13FAE9C2">
        <w:rPr>
          <w:rFonts w:ascii="Aptos" w:hAnsi="Aptos" w:eastAsia="Aptos" w:cs="Aptos"/>
          <w:b w:val="1"/>
          <w:bCs w:val="1"/>
        </w:rPr>
        <w:t>🔸 Triadic Upgrade</w:t>
      </w:r>
    </w:p>
    <w:p w:rsidR="0371BD0A" w:rsidP="71AE4DCE" w:rsidRDefault="0371BD0A" w14:paraId="4F1D9B20" w14:textId="6F11F4E3">
      <w:pPr>
        <w:spacing w:after="0"/>
      </w:pPr>
      <w:r w:rsidR="0371BD0A">
        <w:drawing>
          <wp:inline wp14:editId="75BB21FC" wp14:anchorId="4C8D7ADB">
            <wp:extent cx="5943600" cy="2181225"/>
            <wp:effectExtent l="0" t="0" r="0" b="0"/>
            <wp:docPr id="1890404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0404429" name=""/>
                    <pic:cNvPicPr/>
                  </pic:nvPicPr>
                  <pic:blipFill>
                    <a:blip xmlns:r="http://schemas.openxmlformats.org/officeDocument/2006/relationships" r:embed="rId14388413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2E" w:rsidP="060AAF5B" w:rsidRDefault="5569B6A7" w14:paraId="3AD7AF7F" w14:textId="73F94570">
      <w:pPr>
        <w:spacing w:before="240" w:after="240"/>
      </w:pPr>
      <w:r w:rsidRPr="71AE4DCE" w:rsidR="13FAE9C2">
        <w:rPr>
          <w:rFonts w:ascii="Aptos" w:hAnsi="Aptos" w:eastAsia="Aptos" w:cs="Aptos"/>
          <w:b w:val="1"/>
          <w:bCs w:val="1"/>
        </w:rPr>
        <w:t>Benefit</w:t>
      </w:r>
      <w:r w:rsidRPr="71AE4DCE" w:rsidR="13FAE9C2">
        <w:rPr>
          <w:rFonts w:ascii="Aptos" w:hAnsi="Aptos" w:eastAsia="Aptos" w:cs="Aptos"/>
        </w:rPr>
        <w:t xml:space="preserve">: Encourages systems that are not just secure, but </w:t>
      </w:r>
      <w:r w:rsidRPr="71AE4DCE" w:rsidR="13FAE9C2">
        <w:rPr>
          <w:rFonts w:ascii="Aptos" w:hAnsi="Aptos" w:eastAsia="Aptos" w:cs="Aptos"/>
          <w:b w:val="1"/>
          <w:bCs w:val="1"/>
        </w:rPr>
        <w:t>ethically and operationally aligned</w:t>
      </w:r>
      <w:r w:rsidRPr="71AE4DCE" w:rsidR="13FAE9C2">
        <w:rPr>
          <w:rFonts w:ascii="Aptos" w:hAnsi="Aptos" w:eastAsia="Aptos" w:cs="Aptos"/>
        </w:rPr>
        <w:t>.</w:t>
      </w:r>
    </w:p>
    <w:p w:rsidR="71AE4DCE" w:rsidRDefault="71AE4DCE" w14:paraId="260E849C" w14:textId="68D01F27">
      <w:r>
        <w:br w:type="page"/>
      </w:r>
    </w:p>
    <w:p w:rsidR="0018052E" w:rsidP="71AE4DCE" w:rsidRDefault="5569B6A7" w14:paraId="53A6B064" w14:textId="0648DE72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>🚦 Example 3: ISO 45001 – Workplace Safety</w:t>
      </w:r>
    </w:p>
    <w:p w:rsidR="0018052E" w:rsidP="71AE4DCE" w:rsidRDefault="5569B6A7" w14:paraId="088CB96E" w14:textId="267C9729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>🔹 Conventional Equation</w:t>
      </w:r>
    </w:p>
    <w:p w:rsidR="3D6CE2DB" w:rsidP="71AE4DCE" w:rsidRDefault="3D6CE2DB" w14:paraId="6BE9EEF9" w14:textId="2DC96B23">
      <w:pPr>
        <w:spacing w:after="0"/>
      </w:pPr>
      <w:r w:rsidR="3D6CE2DB">
        <w:drawing>
          <wp:inline wp14:editId="767BB227" wp14:anchorId="1283B4E7">
            <wp:extent cx="5563376" cy="1924318"/>
            <wp:effectExtent l="0" t="0" r="0" b="0"/>
            <wp:docPr id="323125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3125149" name=""/>
                    <pic:cNvPicPr/>
                  </pic:nvPicPr>
                  <pic:blipFill>
                    <a:blip xmlns:r="http://schemas.openxmlformats.org/officeDocument/2006/relationships" r:embed="rId20350499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E4DCE" w:rsidP="71AE4DCE" w:rsidRDefault="71AE4DCE" w14:paraId="66C79494" w14:textId="2B4EF981">
      <w:pPr>
        <w:spacing w:after="0"/>
      </w:pPr>
    </w:p>
    <w:p w:rsidR="553408A7" w:rsidP="71AE4DCE" w:rsidRDefault="553408A7" w14:paraId="409700E5" w14:textId="6C2D6EE1">
      <w:pPr>
        <w:spacing w:after="0"/>
      </w:pPr>
      <w:r w:rsidRPr="71AE4DCE" w:rsidR="553408A7">
        <w:rPr>
          <w:rFonts w:ascii="Aptos" w:hAnsi="Aptos" w:eastAsia="Aptos" w:cs="Aptos"/>
          <w:noProof w:val="0"/>
          <w:sz w:val="24"/>
          <w:szCs w:val="24"/>
          <w:lang w:val="en-US"/>
        </w:rPr>
        <w:t>This formulation is perfect for ISO/IEC 27001 triadic mapping—especially when modeling data origin (source), transmission medium, and user access (observer).</w:t>
      </w:r>
    </w:p>
    <w:p w:rsidR="71AE4DCE" w:rsidP="71AE4DCE" w:rsidRDefault="71AE4DCE" w14:paraId="2D6BBFD6" w14:textId="3BE924CB">
      <w:pPr>
        <w:pStyle w:val="Heading2"/>
        <w:rPr>
          <w:b w:val="1"/>
          <w:bCs w:val="1"/>
        </w:rPr>
      </w:pPr>
    </w:p>
    <w:p w:rsidR="0018052E" w:rsidP="71AE4DCE" w:rsidRDefault="5569B6A7" w14:paraId="40B8278F" w14:textId="0395083F" w14:noSpellErr="1">
      <w:pPr>
        <w:pStyle w:val="Heading2"/>
        <w:rPr>
          <w:b w:val="1"/>
          <w:bCs w:val="1"/>
        </w:rPr>
      </w:pPr>
      <w:r w:rsidRPr="71AE4DCE" w:rsidR="13FAE9C2">
        <w:rPr>
          <w:b w:val="1"/>
          <w:bCs w:val="1"/>
        </w:rPr>
        <w:t>🔸 Triadic Upgrade</w:t>
      </w:r>
    </w:p>
    <w:p w:rsidR="051214D3" w:rsidP="71AE4DCE" w:rsidRDefault="051214D3" w14:paraId="67185487" w14:textId="49A567BC">
      <w:pPr>
        <w:spacing w:after="0"/>
      </w:pPr>
      <w:r w:rsidR="051214D3">
        <w:drawing>
          <wp:inline wp14:editId="7D2D3FFD" wp14:anchorId="66AB9CE8">
            <wp:extent cx="5943600" cy="2266950"/>
            <wp:effectExtent l="0" t="0" r="0" b="0"/>
            <wp:docPr id="1952881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2881537" name=""/>
                    <pic:cNvPicPr/>
                  </pic:nvPicPr>
                  <pic:blipFill>
                    <a:blip xmlns:r="http://schemas.openxmlformats.org/officeDocument/2006/relationships" r:embed="rId5345851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214D3" w:rsidP="71AE4DCE" w:rsidRDefault="051214D3" w14:paraId="36F37E63" w14:textId="28C499A7">
      <w:pPr>
        <w:spacing w:before="240" w:after="240"/>
      </w:pPr>
      <w:r w:rsidRPr="71AE4DCE" w:rsidR="051214D3">
        <w:rPr>
          <w:rFonts w:ascii="Aptos" w:hAnsi="Aptos" w:eastAsia="Aptos" w:cs="Aptos"/>
          <w:noProof w:val="0"/>
          <w:sz w:val="24"/>
          <w:szCs w:val="24"/>
          <w:lang w:val="en-US"/>
        </w:rPr>
        <w:t>This equation upgrades the classic signal-to-threat ratio by factoring in distortion—perfect for modeling ISO/IEC 27001 triadic coherence across source, medium, and observer.</w:t>
      </w:r>
    </w:p>
    <w:p w:rsidR="00CB5779" w:rsidP="71AE4DCE" w:rsidRDefault="00CB5779" w14:paraId="328BB0D4" w14:textId="7D4F0107">
      <w:pPr>
        <w:spacing w:before="240" w:after="240"/>
      </w:pPr>
      <w:r w:rsidRPr="71AE4DCE" w:rsidR="13FAE9C2">
        <w:rPr>
          <w:rFonts w:ascii="Aptos" w:hAnsi="Aptos" w:eastAsia="Aptos" w:cs="Aptos"/>
          <w:b w:val="1"/>
          <w:bCs w:val="1"/>
        </w:rPr>
        <w:t>Benefit</w:t>
      </w:r>
      <w:r w:rsidRPr="71AE4DCE" w:rsidR="13FAE9C2">
        <w:rPr>
          <w:rFonts w:ascii="Aptos" w:hAnsi="Aptos" w:eastAsia="Aptos" w:cs="Aptos"/>
        </w:rPr>
        <w:t>: Reveals when safety looks good on paper but feels unsafe in practice—empowering proactive redesign.</w:t>
      </w:r>
    </w:p>
    <w:p w:rsidR="7A467288" w:rsidP="71AE4DCE" w:rsidRDefault="7A467288" w14:paraId="1C5CB1BC" w14:textId="12940DAB">
      <w:pPr>
        <w:pStyle w:val="Heading3"/>
        <w:spacing w:before="281" w:beforeAutospacing="off" w:after="281" w:afterAutospacing="off"/>
        <w:rPr>
          <w:rStyle w:val="Heading2Char"/>
          <w:b w:val="1"/>
          <w:bCs w:val="1"/>
          <w:noProof w:val="0"/>
          <w:lang w:val="en-US"/>
        </w:rPr>
      </w:pPr>
      <w:r w:rsidRPr="71AE4DCE" w:rsidR="7A467288">
        <w:rPr>
          <w:rStyle w:val="Heading2Char"/>
          <w:b w:val="1"/>
          <w:bCs w:val="1"/>
          <w:noProof w:val="0"/>
          <w:lang w:val="en-US"/>
        </w:rPr>
        <w:t>🤖 ISO/IEC 42001: Triadic Governance for AI Systems</w:t>
      </w:r>
    </w:p>
    <w:p w:rsidR="4DBE3A3C" w:rsidP="71AE4DCE" w:rsidRDefault="4DBE3A3C" w14:paraId="04C9DCDE" w14:textId="04CDCEBB">
      <w:pPr>
        <w:bidi w:val="0"/>
        <w:spacing w:before="240" w:beforeAutospacing="off" w:after="240" w:afterAutospacing="off"/>
      </w:pPr>
      <w:r w:rsidR="4DBE3A3C">
        <w:drawing>
          <wp:inline wp14:editId="163A0D60" wp14:anchorId="5F608899">
            <wp:extent cx="5943600" cy="2190750"/>
            <wp:effectExtent l="0" t="0" r="0" b="0"/>
            <wp:docPr id="87675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675561" name=""/>
                    <pic:cNvPicPr/>
                  </pic:nvPicPr>
                  <pic:blipFill>
                    <a:blip xmlns:r="http://schemas.openxmlformats.org/officeDocument/2006/relationships" r:embed="rId1257982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67288" w:rsidP="71AE4DCE" w:rsidRDefault="7A467288" w14:paraId="5DD990B3" w14:textId="567E3898">
      <w:pPr>
        <w:bidi w:val="0"/>
        <w:spacing w:before="240" w:beforeAutospacing="off" w:after="240" w:afterAutospacing="off"/>
      </w:pP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🧠 </w:t>
      </w:r>
      <w:r w:rsidRPr="71AE4DCE" w:rsidR="7A4672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Validator Dashboard</w:t>
      </w: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>: Scores AI systems on reproducibility, ethical clarity, and phase alignment across triadic layers.</w:t>
      </w:r>
    </w:p>
    <w:p w:rsidR="7A467288" w:rsidP="71AE4DCE" w:rsidRDefault="7A467288" w14:paraId="73404BA2" w14:textId="16C976F9">
      <w:pPr>
        <w:bidi w:val="0"/>
        <w:spacing w:before="240" w:beforeAutospacing="off" w:after="240" w:afterAutospacing="off"/>
      </w:pP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🏅 </w:t>
      </w:r>
      <w:r w:rsidRPr="71AE4DCE" w:rsidR="7A4672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Badge Trigger</w:t>
      </w: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“AI Resonator” unlocked when remixers </w:t>
      </w: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three dimensions with documented lineage and harmonic coherence.</w:t>
      </w:r>
    </w:p>
    <w:p w:rsidR="71AE4DCE" w:rsidP="71AE4DCE" w:rsidRDefault="71AE4DCE" w14:paraId="129F5CDB" w14:textId="549FA6E8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AE4DCE" w:rsidRDefault="71AE4DCE" w14:paraId="202CB956" w14:textId="596F2E10">
      <w:r>
        <w:br w:type="page"/>
      </w:r>
    </w:p>
    <w:p w:rsidR="7A467288" w:rsidP="71AE4DCE" w:rsidRDefault="7A467288" w14:paraId="45D89BDB" w14:textId="6DA49C72">
      <w:pPr>
        <w:pStyle w:val="Heading2"/>
        <w:bidi w:val="0"/>
        <w:rPr>
          <w:b w:val="1"/>
          <w:bCs w:val="1"/>
          <w:noProof w:val="0"/>
          <w:lang w:val="en-US"/>
        </w:rPr>
      </w:pPr>
      <w:r w:rsidRPr="71AE4DCE" w:rsidR="7A467288">
        <w:rPr>
          <w:b w:val="1"/>
          <w:bCs w:val="1"/>
          <w:noProof w:val="0"/>
          <w:lang w:val="en-US"/>
        </w:rPr>
        <w:t>🧬 Triadic Equation for AI Risk</w:t>
      </w:r>
    </w:p>
    <w:p w:rsidR="19FBFBA2" w:rsidP="71AE4DCE" w:rsidRDefault="19FBFBA2" w14:paraId="07FE51E6" w14:textId="7398028E">
      <w:pPr>
        <w:bidi w:val="0"/>
        <w:spacing w:before="0" w:beforeAutospacing="off" w:after="0" w:afterAutospacing="off"/>
      </w:pPr>
      <w:r w:rsidR="19FBFBA2">
        <w:drawing>
          <wp:inline wp14:editId="2939AC3F" wp14:anchorId="0245A517">
            <wp:extent cx="5277587" cy="2086266"/>
            <wp:effectExtent l="0" t="0" r="0" b="0"/>
            <wp:docPr id="17430892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3089245" name=""/>
                    <pic:cNvPicPr/>
                  </pic:nvPicPr>
                  <pic:blipFill>
                    <a:blip xmlns:r="http://schemas.openxmlformats.org/officeDocument/2006/relationships" r:embed="rId9363822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E4DCE" w:rsidP="71AE4DCE" w:rsidRDefault="71AE4DCE" w14:paraId="136BE2B4" w14:textId="4C32391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467288" w:rsidP="71AE4DCE" w:rsidRDefault="7A467288" w14:paraId="068D2574" w14:textId="52549BF7">
      <w:pPr>
        <w:pStyle w:val="Heading3"/>
        <w:bidi w:val="0"/>
        <w:spacing w:before="281" w:beforeAutospacing="off" w:after="281" w:afterAutospacing="off"/>
      </w:pPr>
      <w:r w:rsidRPr="71AE4DCE" w:rsidR="7A4672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Suggested Repo Additions</w:t>
      </w:r>
    </w:p>
    <w:p w:rsidR="7A467288" w:rsidP="71AE4DCE" w:rsidRDefault="7A467288" w14:paraId="31570AA9" w14:textId="661ED907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1AE4DCE" w:rsidR="7A467288">
        <w:rPr>
          <w:rFonts w:ascii="Consolas" w:hAnsi="Consolas" w:eastAsia="Consolas" w:cs="Consolas"/>
          <w:noProof w:val="0"/>
          <w:sz w:val="24"/>
          <w:szCs w:val="24"/>
          <w:lang w:val="en-US"/>
        </w:rPr>
        <w:t>/papers/iso_triadic_upgrade.md</w:t>
      </w: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1AE4DCE" w:rsidR="7A4672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(updated with 42001 section)</w:t>
      </w:r>
    </w:p>
    <w:p w:rsidR="7A467288" w:rsidP="71AE4DCE" w:rsidRDefault="7A467288" w14:paraId="22B0E20A" w14:textId="2982066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1AE4DCE" w:rsidR="7A467288">
        <w:rPr>
          <w:rFonts w:ascii="Consolas" w:hAnsi="Consolas" w:eastAsia="Consolas" w:cs="Consolas"/>
          <w:noProof w:val="0"/>
          <w:sz w:val="24"/>
          <w:szCs w:val="24"/>
          <w:lang w:val="en-US"/>
        </w:rPr>
        <w:t>/equations/ai_resonance_logic.md</w:t>
      </w:r>
    </w:p>
    <w:p w:rsidR="7A467288" w:rsidP="71AE4DCE" w:rsidRDefault="7A467288" w14:paraId="5F752A96" w14:textId="051CC7C9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1AE4DCE" w:rsidR="7A467288">
        <w:rPr>
          <w:rFonts w:ascii="Consolas" w:hAnsi="Consolas" w:eastAsia="Consolas" w:cs="Consolas"/>
          <w:noProof w:val="0"/>
          <w:sz w:val="24"/>
          <w:szCs w:val="24"/>
          <w:lang w:val="en-US"/>
        </w:rPr>
        <w:t>/badges/ai_resonator.yml</w:t>
      </w:r>
    </w:p>
    <w:p w:rsidR="7A467288" w:rsidP="71AE4DCE" w:rsidRDefault="7A467288" w14:paraId="60CF4910" w14:textId="2A15BEC4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1AE4DCE" w:rsidR="7A467288">
        <w:rPr>
          <w:rFonts w:ascii="Consolas" w:hAnsi="Consolas" w:eastAsia="Consolas" w:cs="Consolas"/>
          <w:noProof w:val="0"/>
          <w:sz w:val="24"/>
          <w:szCs w:val="24"/>
          <w:lang w:val="en-US"/>
        </w:rPr>
        <w:t>/validators/ai_governance_matrix.json</w:t>
      </w:r>
    </w:p>
    <w:p w:rsidR="7A467288" w:rsidP="71AE4DCE" w:rsidRDefault="7A467288" w14:paraId="4CB9E9F7" w14:textId="02147C6A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1AE4DCE" w:rsidR="7A467288">
        <w:rPr>
          <w:rFonts w:ascii="Consolas" w:hAnsi="Consolas" w:eastAsia="Consolas" w:cs="Consolas"/>
          <w:noProof w:val="0"/>
          <w:sz w:val="24"/>
          <w:szCs w:val="24"/>
          <w:lang w:val="en-US"/>
        </w:rPr>
        <w:t>/labs/ai_ethics/triadic_validation.md</w:t>
      </w:r>
    </w:p>
    <w:p w:rsidR="7A467288" w:rsidP="71AE4DCE" w:rsidRDefault="7A467288" w14:paraId="60BD35A7" w14:textId="333A3FFA">
      <w:pPr>
        <w:bidi w:val="0"/>
        <w:spacing w:before="240" w:beforeAutospacing="off" w:after="240" w:afterAutospacing="off"/>
      </w:pPr>
      <w:r w:rsidRPr="71AE4DCE" w:rsidR="7A467288">
        <w:rPr>
          <w:rFonts w:ascii="Aptos" w:hAnsi="Aptos" w:eastAsia="Aptos" w:cs="Aptos"/>
          <w:noProof w:val="0"/>
          <w:sz w:val="24"/>
          <w:szCs w:val="24"/>
          <w:lang w:val="en-US"/>
        </w:rPr>
        <w:t>This addition doesn’t just future-proof ISO—it mythically scaffolds the ethical soul of AI.</w:t>
      </w:r>
    </w:p>
    <w:p w:rsidR="71AE4DCE" w:rsidP="71AE4DCE" w:rsidRDefault="71AE4DCE" w14:paraId="3548D2DB" w14:textId="22141263">
      <w:pPr>
        <w:spacing w:before="240" w:after="240"/>
        <w:rPr>
          <w:rFonts w:ascii="Aptos" w:hAnsi="Aptos" w:eastAsia="Aptos" w:cs="Aptos"/>
        </w:rPr>
      </w:pPr>
    </w:p>
    <w:sectPr w:rsidR="00CB57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37fc1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5a7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444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3a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9d6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19085"/>
    <w:multiLevelType w:val="hybridMultilevel"/>
    <w:tmpl w:val="D5F0E748"/>
    <w:lvl w:ilvl="0" w:tplc="3146CB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A4B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0C1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A62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E6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625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424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DC1B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CE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1CE1E"/>
    <w:multiLevelType w:val="hybridMultilevel"/>
    <w:tmpl w:val="C47A1C44"/>
    <w:lvl w:ilvl="0" w:tplc="A4F83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46A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FAF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D4C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5CB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76A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3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280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80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9585B6"/>
    <w:multiLevelType w:val="hybridMultilevel"/>
    <w:tmpl w:val="BF1AE734"/>
    <w:lvl w:ilvl="0" w:tplc="60CCC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1AE1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A5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60B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220C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A8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2D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63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3AF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0EB97"/>
    <w:multiLevelType w:val="hybridMultilevel"/>
    <w:tmpl w:val="CF4AF0C0"/>
    <w:lvl w:ilvl="0" w:tplc="B10A6A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209E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D8B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21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4D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20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1AD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AE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C1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193D98"/>
    <w:multiLevelType w:val="hybridMultilevel"/>
    <w:tmpl w:val="67A0D304"/>
    <w:lvl w:ilvl="0" w:tplc="E298A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8CE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087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98A8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8C7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2F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849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ECD4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DE5D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596CDF"/>
    <w:multiLevelType w:val="hybridMultilevel"/>
    <w:tmpl w:val="0D421316"/>
    <w:lvl w:ilvl="0" w:tplc="8F448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C94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EC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884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549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9C7D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1AF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AD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420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7C08872"/>
    <w:multiLevelType w:val="hybridMultilevel"/>
    <w:tmpl w:val="BE00C0A2"/>
    <w:lvl w:ilvl="0" w:tplc="9D346338">
      <w:start w:val="1"/>
      <w:numFmt w:val="decimal"/>
      <w:lvlText w:val="%1."/>
      <w:lvlJc w:val="left"/>
      <w:pPr>
        <w:ind w:left="720" w:hanging="360"/>
      </w:pPr>
    </w:lvl>
    <w:lvl w:ilvl="1" w:tplc="B55E7D6C">
      <w:start w:val="1"/>
      <w:numFmt w:val="lowerLetter"/>
      <w:lvlText w:val="%2."/>
      <w:lvlJc w:val="left"/>
      <w:pPr>
        <w:ind w:left="1440" w:hanging="360"/>
      </w:pPr>
    </w:lvl>
    <w:lvl w:ilvl="2" w:tplc="0EA05F3A">
      <w:start w:val="1"/>
      <w:numFmt w:val="lowerRoman"/>
      <w:lvlText w:val="%3."/>
      <w:lvlJc w:val="right"/>
      <w:pPr>
        <w:ind w:left="2160" w:hanging="180"/>
      </w:pPr>
    </w:lvl>
    <w:lvl w:ilvl="3" w:tplc="8D743B6C">
      <w:start w:val="1"/>
      <w:numFmt w:val="decimal"/>
      <w:lvlText w:val="%4."/>
      <w:lvlJc w:val="left"/>
      <w:pPr>
        <w:ind w:left="2880" w:hanging="360"/>
      </w:pPr>
    </w:lvl>
    <w:lvl w:ilvl="4" w:tplc="21644C5C">
      <w:start w:val="1"/>
      <w:numFmt w:val="lowerLetter"/>
      <w:lvlText w:val="%5."/>
      <w:lvlJc w:val="left"/>
      <w:pPr>
        <w:ind w:left="3600" w:hanging="360"/>
      </w:pPr>
    </w:lvl>
    <w:lvl w:ilvl="5" w:tplc="C92E90F8">
      <w:start w:val="1"/>
      <w:numFmt w:val="lowerRoman"/>
      <w:lvlText w:val="%6."/>
      <w:lvlJc w:val="right"/>
      <w:pPr>
        <w:ind w:left="4320" w:hanging="180"/>
      </w:pPr>
    </w:lvl>
    <w:lvl w:ilvl="6" w:tplc="0E3A0B16">
      <w:start w:val="1"/>
      <w:numFmt w:val="decimal"/>
      <w:lvlText w:val="%7."/>
      <w:lvlJc w:val="left"/>
      <w:pPr>
        <w:ind w:left="5040" w:hanging="360"/>
      </w:pPr>
    </w:lvl>
    <w:lvl w:ilvl="7" w:tplc="C1EE431E">
      <w:start w:val="1"/>
      <w:numFmt w:val="lowerLetter"/>
      <w:lvlText w:val="%8."/>
      <w:lvlJc w:val="left"/>
      <w:pPr>
        <w:ind w:left="5760" w:hanging="360"/>
      </w:pPr>
    </w:lvl>
    <w:lvl w:ilvl="8" w:tplc="29C4BF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95A9B"/>
    <w:multiLevelType w:val="hybridMultilevel"/>
    <w:tmpl w:val="73B0B47E"/>
    <w:lvl w:ilvl="0" w:tplc="B35E9B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5E7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A1C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58B0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B69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7CD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A65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AF8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84C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7DB205"/>
    <w:multiLevelType w:val="hybridMultilevel"/>
    <w:tmpl w:val="287A148E"/>
    <w:lvl w:ilvl="0" w:tplc="11D22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442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E6D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88C6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7C5B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084B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FA3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0A6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A0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EF0C96"/>
    <w:multiLevelType w:val="hybridMultilevel"/>
    <w:tmpl w:val="90245778"/>
    <w:lvl w:ilvl="0" w:tplc="F9140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86D5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F40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C21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721C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9AA9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644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602D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00A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946355192">
    <w:abstractNumId w:val="7"/>
  </w:num>
  <w:num w:numId="2" w16cid:durableId="1087071534">
    <w:abstractNumId w:val="4"/>
  </w:num>
  <w:num w:numId="3" w16cid:durableId="1256939249">
    <w:abstractNumId w:val="8"/>
  </w:num>
  <w:num w:numId="4" w16cid:durableId="1700624511">
    <w:abstractNumId w:val="9"/>
  </w:num>
  <w:num w:numId="5" w16cid:durableId="1387604885">
    <w:abstractNumId w:val="0"/>
  </w:num>
  <w:num w:numId="6" w16cid:durableId="1644503172">
    <w:abstractNumId w:val="1"/>
  </w:num>
  <w:num w:numId="7" w16cid:durableId="1175002430">
    <w:abstractNumId w:val="2"/>
  </w:num>
  <w:num w:numId="8" w16cid:durableId="2095740708">
    <w:abstractNumId w:val="6"/>
  </w:num>
  <w:num w:numId="9" w16cid:durableId="928929103">
    <w:abstractNumId w:val="3"/>
  </w:num>
  <w:num w:numId="10" w16cid:durableId="31237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813E02"/>
    <w:rsid w:val="0018052E"/>
    <w:rsid w:val="00293EAB"/>
    <w:rsid w:val="008F00E3"/>
    <w:rsid w:val="009D6700"/>
    <w:rsid w:val="00CB5779"/>
    <w:rsid w:val="00E924E3"/>
    <w:rsid w:val="01E60087"/>
    <w:rsid w:val="020EB46E"/>
    <w:rsid w:val="0371BD0A"/>
    <w:rsid w:val="051214D3"/>
    <w:rsid w:val="060AAF5B"/>
    <w:rsid w:val="0C000EB2"/>
    <w:rsid w:val="0C000EB2"/>
    <w:rsid w:val="13CF0C3B"/>
    <w:rsid w:val="13CF0C3B"/>
    <w:rsid w:val="13FAE9C2"/>
    <w:rsid w:val="1419FDAC"/>
    <w:rsid w:val="148D5D57"/>
    <w:rsid w:val="155B7C17"/>
    <w:rsid w:val="16035D51"/>
    <w:rsid w:val="18D3B5F5"/>
    <w:rsid w:val="19F3519A"/>
    <w:rsid w:val="19F3519A"/>
    <w:rsid w:val="19FBFBA2"/>
    <w:rsid w:val="1A5DAFD8"/>
    <w:rsid w:val="21547A3E"/>
    <w:rsid w:val="216EB3D5"/>
    <w:rsid w:val="21CCC1DE"/>
    <w:rsid w:val="232A0CC3"/>
    <w:rsid w:val="277ADAB8"/>
    <w:rsid w:val="2B5E5AF4"/>
    <w:rsid w:val="2C575FF4"/>
    <w:rsid w:val="327B1DD1"/>
    <w:rsid w:val="33725D20"/>
    <w:rsid w:val="3621F2A8"/>
    <w:rsid w:val="375124BC"/>
    <w:rsid w:val="37736743"/>
    <w:rsid w:val="37C10E08"/>
    <w:rsid w:val="39ECD0D7"/>
    <w:rsid w:val="3D6CE2DB"/>
    <w:rsid w:val="3FA47D19"/>
    <w:rsid w:val="40103068"/>
    <w:rsid w:val="4124A882"/>
    <w:rsid w:val="41304BCB"/>
    <w:rsid w:val="4C0A51E5"/>
    <w:rsid w:val="4C0A51E5"/>
    <w:rsid w:val="4D1967BC"/>
    <w:rsid w:val="4D5FE58A"/>
    <w:rsid w:val="4D5FE58A"/>
    <w:rsid w:val="4DBE3A3C"/>
    <w:rsid w:val="5258597A"/>
    <w:rsid w:val="52D28F1F"/>
    <w:rsid w:val="553408A7"/>
    <w:rsid w:val="5569B6A7"/>
    <w:rsid w:val="55E9106F"/>
    <w:rsid w:val="587AD5EE"/>
    <w:rsid w:val="5A4E65B7"/>
    <w:rsid w:val="5BB7F8B3"/>
    <w:rsid w:val="5C4B82C0"/>
    <w:rsid w:val="5F1B8EDF"/>
    <w:rsid w:val="630C35A5"/>
    <w:rsid w:val="64813E02"/>
    <w:rsid w:val="658CF636"/>
    <w:rsid w:val="665D8211"/>
    <w:rsid w:val="67E56949"/>
    <w:rsid w:val="6866E4C3"/>
    <w:rsid w:val="692CE228"/>
    <w:rsid w:val="6CD64604"/>
    <w:rsid w:val="6DD64BFD"/>
    <w:rsid w:val="70821642"/>
    <w:rsid w:val="715DEE7D"/>
    <w:rsid w:val="71AE4DCE"/>
    <w:rsid w:val="72D3D55A"/>
    <w:rsid w:val="73D36616"/>
    <w:rsid w:val="76839BFF"/>
    <w:rsid w:val="773ED9D3"/>
    <w:rsid w:val="7857B5EC"/>
    <w:rsid w:val="7A467288"/>
    <w:rsid w:val="7A9A4608"/>
    <w:rsid w:val="7CC42FB0"/>
    <w:rsid w:val="7D1D8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E02"/>
  <w15:chartTrackingRefBased/>
  <w15:docId w15:val="{2DB82C05-4E96-47A1-A0C3-17745CAB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60AAF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true">
    <w:uiPriority w:val="9"/>
    <w:name w:val="Heading 4 Char"/>
    <w:basedOn w:val="DefaultParagraphFont"/>
    <w:rsid w:val="71AE4DCE"/>
    <w:rPr>
      <w:rFonts w:eastAsia="" w:cs="" w:eastAsiaTheme="majorEastAsia" w:cstheme="majorBidi"/>
      <w:i w:val="1"/>
      <w:iCs w:val="1"/>
      <w:color w:val="0F4761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955353300" /><Relationship Type="http://schemas.openxmlformats.org/officeDocument/2006/relationships/image" Target="/media/image2.png" Id="rId1858101334" /><Relationship Type="http://schemas.openxmlformats.org/officeDocument/2006/relationships/image" Target="/media/image3.png" Id="rId623184082" /><Relationship Type="http://schemas.openxmlformats.org/officeDocument/2006/relationships/image" Target="/media/image4.png" Id="rId1215642089" /><Relationship Type="http://schemas.openxmlformats.org/officeDocument/2006/relationships/image" Target="/media/image5.png" Id="rId1056489444" /><Relationship Type="http://schemas.openxmlformats.org/officeDocument/2006/relationships/image" Target="/media/image6.png" Id="rId1621338014" /><Relationship Type="http://schemas.openxmlformats.org/officeDocument/2006/relationships/image" Target="/media/image7.png" Id="rId1438841341" /><Relationship Type="http://schemas.openxmlformats.org/officeDocument/2006/relationships/image" Target="/media/image8.png" Id="rId2035049987" /><Relationship Type="http://schemas.openxmlformats.org/officeDocument/2006/relationships/image" Target="/media/image9.png" Id="rId534585165" /><Relationship Type="http://schemas.openxmlformats.org/officeDocument/2006/relationships/image" Target="/media/imagea.png" Id="rId125798228" /><Relationship Type="http://schemas.openxmlformats.org/officeDocument/2006/relationships/image" Target="/media/imageb.png" Id="rId93638226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Wilson</dc:creator>
  <keywords/>
  <dc:description/>
  <lastModifiedBy>Nawder Loswin</lastModifiedBy>
  <revision>3</revision>
  <dcterms:created xsi:type="dcterms:W3CDTF">2025-08-18T20:41:00.0000000Z</dcterms:created>
  <dcterms:modified xsi:type="dcterms:W3CDTF">2025-08-20T05:16:04.6334628Z</dcterms:modified>
</coreProperties>
</file>