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4D040F" wp14:paraId="19117385" wp14:textId="5E988CEF">
      <w:pPr>
        <w:spacing w:before="0" w:beforeAutospacing="off" w:after="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So many uses to pick from, let's try one that could become common - mid-level power station. Pick a few brands only the top then we can try test metrics against know specs for this use case. Current vs. TFT enabled (same equipment just a firmware update from the suppliers) Think of something in teh 2-5k range whichever seems to resonate already in terms of number of cells, etc. Good luck, may the force be with you and the electrons too.</w:t>
      </w:r>
    </w:p>
    <w:p xmlns:wp14="http://schemas.microsoft.com/office/word/2010/wordml" w:rsidP="724D040F" wp14:paraId="7194F046" wp14:textId="7BFC7C47">
      <w:pPr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Alright, Andrew — let’s zero in on a “mid‑level” portable power station class that’s already popular in the 2–5 kWh usable capacity range, and then we’ll run a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vs. TFT‑enabled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comparison using known specs. We’ll keep the hardware identical and assume the only change is a firmware/BMS update from the supplier that implements your triadic control principles.</w:t>
      </w:r>
    </w:p>
    <w:p xmlns:wp14="http://schemas.microsoft.com/office/word/2010/wordml" w:rsidP="724D040F" wp14:paraId="282D5434" wp14:textId="532C0FB8">
      <w:pPr>
        <w:pStyle w:val="Heading2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🔝 Representative Mid‑Level Models (2025)</w:t>
      </w:r>
    </w:p>
    <w:p xmlns:wp14="http://schemas.microsoft.com/office/word/2010/wordml" w:rsidP="724D040F" wp14:paraId="4465AEA9" wp14:textId="0DF0F9B4">
      <w:pPr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From recent top‑lists2, here are three strong contenders in the sweet spot: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1"/>
        <w:gridCol w:w="1453"/>
        <w:gridCol w:w="715"/>
        <w:gridCol w:w="1007"/>
        <w:gridCol w:w="1171"/>
        <w:gridCol w:w="1253"/>
        <w:gridCol w:w="2101"/>
      </w:tblGrid>
      <w:tr w:rsidR="724D040F" w:rsidTr="724D040F" w14:paraId="3A110F73">
        <w:trPr>
          <w:trHeight w:val="300"/>
        </w:trPr>
        <w:tc>
          <w:tcPr>
            <w:tcW w:w="1661" w:type="dxa"/>
            <w:tcMar/>
            <w:vAlign w:val="center"/>
          </w:tcPr>
          <w:p w:rsidR="724D040F" w:rsidP="724D040F" w:rsidRDefault="724D040F" w14:paraId="344A8D09" w14:textId="0E7DEBE5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Brand / Model</w:t>
            </w:r>
          </w:p>
        </w:tc>
        <w:tc>
          <w:tcPr>
            <w:tcW w:w="1453" w:type="dxa"/>
            <w:tcMar/>
            <w:vAlign w:val="center"/>
          </w:tcPr>
          <w:p w:rsidR="724D040F" w:rsidP="724D040F" w:rsidRDefault="724D040F" w14:paraId="31253751" w14:textId="5FE6BC98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Nominal Capacity (Wh)</w:t>
            </w:r>
          </w:p>
        </w:tc>
        <w:tc>
          <w:tcPr>
            <w:tcW w:w="715" w:type="dxa"/>
            <w:tcMar/>
            <w:vAlign w:val="center"/>
          </w:tcPr>
          <w:p w:rsidR="724D040F" w:rsidP="724D040F" w:rsidRDefault="724D040F" w14:paraId="7EDBA265" w14:textId="21DC6B22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Chemistry</w:t>
            </w:r>
          </w:p>
        </w:tc>
        <w:tc>
          <w:tcPr>
            <w:tcW w:w="1007" w:type="dxa"/>
            <w:tcMar/>
            <w:vAlign w:val="center"/>
          </w:tcPr>
          <w:p w:rsidR="724D040F" w:rsidP="724D040F" w:rsidRDefault="724D040F" w14:paraId="06032186" w14:textId="1BF3533F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Nominal Voltage</w:t>
            </w:r>
          </w:p>
        </w:tc>
        <w:tc>
          <w:tcPr>
            <w:tcW w:w="1171" w:type="dxa"/>
            <w:tcMar/>
            <w:vAlign w:val="center"/>
          </w:tcPr>
          <w:p w:rsidR="724D040F" w:rsidP="724D040F" w:rsidRDefault="724D040F" w14:paraId="4636949E" w14:textId="632ABBCA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Est. Cell Count</w:t>
            </w:r>
          </w:p>
        </w:tc>
        <w:tc>
          <w:tcPr>
            <w:tcW w:w="1253" w:type="dxa"/>
            <w:tcMar/>
            <w:vAlign w:val="center"/>
          </w:tcPr>
          <w:p w:rsidR="724D040F" w:rsidP="724D040F" w:rsidRDefault="724D040F" w14:paraId="64A5BDBB" w14:textId="5ECFC969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Inverter Output (W)</w:t>
            </w:r>
          </w:p>
        </w:tc>
        <w:tc>
          <w:tcPr>
            <w:tcW w:w="2101" w:type="dxa"/>
            <w:tcMar/>
            <w:vAlign w:val="center"/>
          </w:tcPr>
          <w:p w:rsidR="724D040F" w:rsidP="724D040F" w:rsidRDefault="724D040F" w14:paraId="4AC773DB" w14:textId="16EB7C51">
            <w:pPr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Notes</w:t>
            </w:r>
          </w:p>
        </w:tc>
      </w:tr>
      <w:tr w:rsidR="724D040F" w:rsidTr="724D040F" w14:paraId="28721B3F">
        <w:trPr>
          <w:trHeight w:val="300"/>
        </w:trPr>
        <w:tc>
          <w:tcPr>
            <w:tcW w:w="1661" w:type="dxa"/>
            <w:tcMar/>
            <w:vAlign w:val="center"/>
          </w:tcPr>
          <w:p w:rsidR="724D040F" w:rsidP="724D040F" w:rsidRDefault="724D040F" w14:paraId="3FF321C1" w14:textId="7CC8E085">
            <w:pPr>
              <w:spacing w:before="0" w:beforeAutospacing="off" w:after="0" w:afterAutospacing="off"/>
            </w:pPr>
            <w:r w:rsidRPr="724D040F" w:rsidR="724D040F">
              <w:rPr>
                <w:b w:val="1"/>
                <w:bCs w:val="1"/>
              </w:rPr>
              <w:t>EcoFlow DELTA 3 Plus</w:t>
            </w:r>
          </w:p>
        </w:tc>
        <w:tc>
          <w:tcPr>
            <w:tcW w:w="1453" w:type="dxa"/>
            <w:tcMar/>
            <w:vAlign w:val="center"/>
          </w:tcPr>
          <w:p w:rsidR="724D040F" w:rsidP="724D040F" w:rsidRDefault="724D040F" w14:paraId="5CEE8B35" w14:textId="5B045DCA">
            <w:pPr>
              <w:spacing w:before="0" w:beforeAutospacing="off" w:after="0" w:afterAutospacing="off"/>
            </w:pPr>
            <w:r w:rsidR="724D040F">
              <w:rPr/>
              <w:t>3,584</w:t>
            </w:r>
          </w:p>
        </w:tc>
        <w:tc>
          <w:tcPr>
            <w:tcW w:w="715" w:type="dxa"/>
            <w:tcMar/>
            <w:vAlign w:val="center"/>
          </w:tcPr>
          <w:p w:rsidR="724D040F" w:rsidP="724D040F" w:rsidRDefault="724D040F" w14:paraId="69ABC8E6" w14:textId="4A8BA686">
            <w:pPr>
              <w:spacing w:before="0" w:beforeAutospacing="off" w:after="0" w:afterAutospacing="off"/>
            </w:pPr>
            <w:r w:rsidR="724D040F">
              <w:rPr/>
              <w:t>Li‑ion NMC</w:t>
            </w:r>
          </w:p>
        </w:tc>
        <w:tc>
          <w:tcPr>
            <w:tcW w:w="1007" w:type="dxa"/>
            <w:tcMar/>
            <w:vAlign w:val="center"/>
          </w:tcPr>
          <w:p w:rsidR="724D040F" w:rsidP="724D040F" w:rsidRDefault="724D040F" w14:paraId="3AF1BB8C" w14:textId="67FA2F36">
            <w:pPr>
              <w:spacing w:before="0" w:beforeAutospacing="off" w:after="0" w:afterAutospacing="off"/>
            </w:pPr>
            <w:r w:rsidR="724D040F">
              <w:rPr/>
              <w:t>~51.2 V</w:t>
            </w:r>
          </w:p>
        </w:tc>
        <w:tc>
          <w:tcPr>
            <w:tcW w:w="1171" w:type="dxa"/>
            <w:tcMar/>
            <w:vAlign w:val="center"/>
          </w:tcPr>
          <w:p w:rsidR="724D040F" w:rsidP="724D040F" w:rsidRDefault="724D040F" w14:paraId="53D1CC62" w14:textId="6D92987D">
            <w:pPr>
              <w:spacing w:before="0" w:beforeAutospacing="off" w:after="0" w:afterAutospacing="off"/>
            </w:pPr>
            <w:r w:rsidR="724D040F">
              <w:rPr/>
              <w:t>~280 (18650/21700)</w:t>
            </w:r>
          </w:p>
        </w:tc>
        <w:tc>
          <w:tcPr>
            <w:tcW w:w="1253" w:type="dxa"/>
            <w:tcMar/>
            <w:vAlign w:val="center"/>
          </w:tcPr>
          <w:p w:rsidR="724D040F" w:rsidP="724D040F" w:rsidRDefault="724D040F" w14:paraId="1BD611C7" w14:textId="34C8BE6C">
            <w:pPr>
              <w:spacing w:before="0" w:beforeAutospacing="off" w:after="0" w:afterAutospacing="off"/>
            </w:pPr>
            <w:r w:rsidR="724D040F">
              <w:rPr/>
              <w:t>2,400 (4,800 surge)</w:t>
            </w:r>
          </w:p>
        </w:tc>
        <w:tc>
          <w:tcPr>
            <w:tcW w:w="2101" w:type="dxa"/>
            <w:tcMar/>
            <w:vAlign w:val="center"/>
          </w:tcPr>
          <w:p w:rsidR="724D040F" w:rsidP="724D040F" w:rsidRDefault="724D040F" w14:paraId="532B92B5" w14:textId="430E179B">
            <w:pPr>
              <w:spacing w:before="0" w:beforeAutospacing="off" w:after="0" w:afterAutospacing="off"/>
            </w:pPr>
            <w:r w:rsidR="724D040F">
              <w:rPr/>
              <w:t>UPS &lt;10 ms, expandable</w:t>
            </w:r>
          </w:p>
        </w:tc>
      </w:tr>
      <w:tr w:rsidR="724D040F" w:rsidTr="724D040F" w14:paraId="128AC002">
        <w:trPr>
          <w:trHeight w:val="300"/>
        </w:trPr>
        <w:tc>
          <w:tcPr>
            <w:tcW w:w="1661" w:type="dxa"/>
            <w:tcMar/>
            <w:vAlign w:val="center"/>
          </w:tcPr>
          <w:p w:rsidR="724D040F" w:rsidP="724D040F" w:rsidRDefault="724D040F" w14:paraId="7B1B3F4C" w14:textId="61418E99">
            <w:pPr>
              <w:spacing w:before="0" w:beforeAutospacing="off" w:after="0" w:afterAutospacing="off"/>
            </w:pPr>
            <w:r w:rsidRPr="724D040F" w:rsidR="724D040F">
              <w:rPr>
                <w:b w:val="1"/>
                <w:bCs w:val="1"/>
              </w:rPr>
              <w:t>Jackery Explorer 2000 Plus</w:t>
            </w:r>
          </w:p>
        </w:tc>
        <w:tc>
          <w:tcPr>
            <w:tcW w:w="1453" w:type="dxa"/>
            <w:tcMar/>
            <w:vAlign w:val="center"/>
          </w:tcPr>
          <w:p w:rsidR="724D040F" w:rsidP="724D040F" w:rsidRDefault="724D040F" w14:paraId="17238746" w14:textId="75D20F9A">
            <w:pPr>
              <w:spacing w:before="0" w:beforeAutospacing="off" w:after="0" w:afterAutospacing="off"/>
            </w:pPr>
            <w:r w:rsidR="724D040F">
              <w:rPr/>
              <w:t>2,042</w:t>
            </w:r>
          </w:p>
        </w:tc>
        <w:tc>
          <w:tcPr>
            <w:tcW w:w="715" w:type="dxa"/>
            <w:tcMar/>
            <w:vAlign w:val="center"/>
          </w:tcPr>
          <w:p w:rsidR="724D040F" w:rsidP="724D040F" w:rsidRDefault="724D040F" w14:paraId="2CB8A5E1" w14:textId="07D86241">
            <w:pPr>
              <w:spacing w:before="0" w:beforeAutospacing="off" w:after="0" w:afterAutospacing="off"/>
            </w:pPr>
            <w:r w:rsidR="724D040F">
              <w:rPr/>
              <w:t>Li‑ion NMC</w:t>
            </w:r>
          </w:p>
        </w:tc>
        <w:tc>
          <w:tcPr>
            <w:tcW w:w="1007" w:type="dxa"/>
            <w:tcMar/>
            <w:vAlign w:val="center"/>
          </w:tcPr>
          <w:p w:rsidR="724D040F" w:rsidP="724D040F" w:rsidRDefault="724D040F" w14:paraId="267F18D1" w14:textId="039DDD5D">
            <w:pPr>
              <w:spacing w:before="0" w:beforeAutospacing="off" w:after="0" w:afterAutospacing="off"/>
            </w:pPr>
            <w:r w:rsidR="724D040F">
              <w:rPr/>
              <w:t>~51.2 V</w:t>
            </w:r>
          </w:p>
        </w:tc>
        <w:tc>
          <w:tcPr>
            <w:tcW w:w="1171" w:type="dxa"/>
            <w:tcMar/>
            <w:vAlign w:val="center"/>
          </w:tcPr>
          <w:p w:rsidR="724D040F" w:rsidP="724D040F" w:rsidRDefault="724D040F" w14:paraId="4444EF34" w14:textId="23FD3DCB">
            <w:pPr>
              <w:spacing w:before="0" w:beforeAutospacing="off" w:after="0" w:afterAutospacing="off"/>
            </w:pPr>
            <w:r w:rsidR="724D040F">
              <w:rPr/>
              <w:t>~160</w:t>
            </w:r>
          </w:p>
        </w:tc>
        <w:tc>
          <w:tcPr>
            <w:tcW w:w="1253" w:type="dxa"/>
            <w:tcMar/>
            <w:vAlign w:val="center"/>
          </w:tcPr>
          <w:p w:rsidR="724D040F" w:rsidP="724D040F" w:rsidRDefault="724D040F" w14:paraId="672FEEF5" w14:textId="126B58F0">
            <w:pPr>
              <w:spacing w:before="0" w:beforeAutospacing="off" w:after="0" w:afterAutospacing="off"/>
            </w:pPr>
            <w:r w:rsidR="724D040F">
              <w:rPr/>
              <w:t>3,000 (6,000 surge)</w:t>
            </w:r>
          </w:p>
        </w:tc>
        <w:tc>
          <w:tcPr>
            <w:tcW w:w="2101" w:type="dxa"/>
            <w:tcMar/>
            <w:vAlign w:val="center"/>
          </w:tcPr>
          <w:p w:rsidR="724D040F" w:rsidP="724D040F" w:rsidRDefault="724D040F" w14:paraId="170FA911" w14:textId="6FB23E65">
            <w:pPr>
              <w:spacing w:before="0" w:beforeAutospacing="off" w:after="0" w:afterAutospacing="off"/>
            </w:pPr>
            <w:r w:rsidR="724D040F">
              <w:rPr/>
              <w:t>Modular expansion, fast solar charge</w:t>
            </w:r>
          </w:p>
        </w:tc>
      </w:tr>
      <w:tr w:rsidR="724D040F" w:rsidTr="724D040F" w14:paraId="64F824BC">
        <w:trPr>
          <w:trHeight w:val="300"/>
        </w:trPr>
        <w:tc>
          <w:tcPr>
            <w:tcW w:w="1661" w:type="dxa"/>
            <w:tcMar/>
            <w:vAlign w:val="center"/>
          </w:tcPr>
          <w:p w:rsidR="724D040F" w:rsidP="724D040F" w:rsidRDefault="724D040F" w14:paraId="4E1BDD8A" w14:textId="0613C12C">
            <w:pPr>
              <w:spacing w:before="0" w:beforeAutospacing="off" w:after="0" w:afterAutospacing="off"/>
            </w:pPr>
            <w:r w:rsidRPr="724D040F" w:rsidR="724D040F">
              <w:rPr>
                <w:b w:val="1"/>
                <w:bCs w:val="1"/>
              </w:rPr>
              <w:t>BLUETTI AC200L</w:t>
            </w:r>
          </w:p>
        </w:tc>
        <w:tc>
          <w:tcPr>
            <w:tcW w:w="1453" w:type="dxa"/>
            <w:tcMar/>
            <w:vAlign w:val="center"/>
          </w:tcPr>
          <w:p w:rsidR="724D040F" w:rsidP="724D040F" w:rsidRDefault="724D040F" w14:paraId="1D9AD928" w14:textId="0BF160ED">
            <w:pPr>
              <w:spacing w:before="0" w:beforeAutospacing="off" w:after="0" w:afterAutospacing="off"/>
            </w:pPr>
            <w:r w:rsidR="724D040F">
              <w:rPr/>
              <w:t>2,048</w:t>
            </w:r>
          </w:p>
        </w:tc>
        <w:tc>
          <w:tcPr>
            <w:tcW w:w="715" w:type="dxa"/>
            <w:tcMar/>
            <w:vAlign w:val="center"/>
          </w:tcPr>
          <w:p w:rsidR="724D040F" w:rsidP="724D040F" w:rsidRDefault="724D040F" w14:paraId="7AA1AE41" w14:textId="1114C628">
            <w:pPr>
              <w:spacing w:before="0" w:beforeAutospacing="off" w:after="0" w:afterAutospacing="off"/>
            </w:pPr>
            <w:r w:rsidR="724D040F">
              <w:rPr/>
              <w:t>LiFePO₄</w:t>
            </w:r>
          </w:p>
        </w:tc>
        <w:tc>
          <w:tcPr>
            <w:tcW w:w="1007" w:type="dxa"/>
            <w:tcMar/>
            <w:vAlign w:val="center"/>
          </w:tcPr>
          <w:p w:rsidR="724D040F" w:rsidP="724D040F" w:rsidRDefault="724D040F" w14:paraId="0E477994" w14:textId="35397962">
            <w:pPr>
              <w:spacing w:before="0" w:beforeAutospacing="off" w:after="0" w:afterAutospacing="off"/>
            </w:pPr>
            <w:r w:rsidR="724D040F">
              <w:rPr/>
              <w:t>~51.2 V</w:t>
            </w:r>
          </w:p>
        </w:tc>
        <w:tc>
          <w:tcPr>
            <w:tcW w:w="1171" w:type="dxa"/>
            <w:tcMar/>
            <w:vAlign w:val="center"/>
          </w:tcPr>
          <w:p w:rsidR="724D040F" w:rsidP="724D040F" w:rsidRDefault="724D040F" w14:paraId="0D444A9F" w14:textId="21F0B8F6">
            <w:pPr>
              <w:spacing w:before="0" w:beforeAutospacing="off" w:after="0" w:afterAutospacing="off"/>
            </w:pPr>
            <w:r w:rsidR="724D040F">
              <w:rPr/>
              <w:t>~128 (prismatic)</w:t>
            </w:r>
          </w:p>
        </w:tc>
        <w:tc>
          <w:tcPr>
            <w:tcW w:w="1253" w:type="dxa"/>
            <w:tcMar/>
            <w:vAlign w:val="center"/>
          </w:tcPr>
          <w:p w:rsidR="724D040F" w:rsidP="724D040F" w:rsidRDefault="724D040F" w14:paraId="2B7D0259" w14:textId="3E6F9E2E">
            <w:pPr>
              <w:spacing w:before="0" w:beforeAutospacing="off" w:after="0" w:afterAutospacing="off"/>
            </w:pPr>
            <w:r w:rsidR="724D040F">
              <w:rPr/>
              <w:t>2,400 (4,800 surge)</w:t>
            </w:r>
          </w:p>
        </w:tc>
        <w:tc>
          <w:tcPr>
            <w:tcW w:w="2101" w:type="dxa"/>
            <w:tcMar/>
            <w:vAlign w:val="center"/>
          </w:tcPr>
          <w:p w:rsidR="724D040F" w:rsidP="724D040F" w:rsidRDefault="724D040F" w14:paraId="5642E7A9" w14:textId="30D45611">
            <w:pPr>
              <w:spacing w:before="0" w:beforeAutospacing="off" w:after="0" w:afterAutospacing="off"/>
            </w:pPr>
            <w:r w:rsidR="724D040F">
              <w:rPr/>
              <w:t>3,500+ cycle life, high solar input</w:t>
            </w:r>
          </w:p>
        </w:tc>
      </w:tr>
    </w:tbl>
    <w:p xmlns:wp14="http://schemas.microsoft.com/office/word/2010/wordml" w:rsidP="724D040F" wp14:paraId="51847160" wp14:textId="4F05D0ED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Cell counts estimated from nominal voltage and capacity; actual pack architecture may vary slightly by manufacturer.</w:t>
      </w:r>
    </w:p>
    <w:p xmlns:wp14="http://schemas.microsoft.com/office/word/2010/wordml" w:rsidP="724D040F" wp14:paraId="5880F589" wp14:textId="0B45FFF4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Baseline vs. TFT‑Enabled — Effective Wh</w:t>
      </w:r>
    </w:p>
    <w:p xmlns:wp14="http://schemas.microsoft.com/office/word/2010/wordml" w:rsidP="724D040F" wp14:paraId="662A6766" wp14:textId="350B930B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We’ll use the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Effective Wh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formula from our BMS paper:</w:t>
      </w:r>
    </w:p>
    <w:p xmlns:wp14="http://schemas.microsoft.com/office/word/2010/wordml" w:rsidP="724D040F" wp14:paraId="2007AC2D" wp14:textId="6C7FC085">
      <w:pPr>
        <w:bidi w:val="0"/>
        <w:spacing w:before="0" w:beforeAutospacing="off" w:after="0" w:afterAutospacing="off"/>
      </w:pPr>
      <w:r w:rsidRPr="724D040F" w:rsidR="312659BE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>Effective Wh=Nameplate Wh×Usable SOC window×Round‑trip efficiency\text{Effective Wh} = \text{Nameplate Wh} \times \text{Usable SOC window} \times \text{Round‑trip efficiency}</w:t>
      </w:r>
    </w:p>
    <w:p xmlns:wp14="http://schemas.microsoft.com/office/word/2010/wordml" w:rsidP="724D040F" wp14:paraId="1566E7DA" wp14:textId="06E8793F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Baseline assumptions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(typical factory firmware):</w:t>
      </w:r>
    </w:p>
    <w:p xmlns:wp14="http://schemas.microsoft.com/office/word/2010/wordml" w:rsidP="724D040F" wp14:paraId="23BDEDC4" wp14:textId="27CF842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NMC: Usable SOC window ~92%, RTE ~95%</w:t>
      </w:r>
    </w:p>
    <w:p xmlns:wp14="http://schemas.microsoft.com/office/word/2010/wordml" w:rsidP="724D040F" wp14:paraId="23AE4068" wp14:textId="745367B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LFP: Usable SOC window ~90%, RTE ~94%</w:t>
      </w:r>
    </w:p>
    <w:p xmlns:wp14="http://schemas.microsoft.com/office/word/2010/wordml" w:rsidP="724D040F" wp14:paraId="5320D6F4" wp14:textId="1C8A5907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TFT‑enabled assumptions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(via firmware only):</w:t>
      </w:r>
    </w:p>
    <w:p xmlns:wp14="http://schemas.microsoft.com/office/word/2010/wordml" w:rsidP="724D040F" wp14:paraId="56CBDFC2" wp14:textId="1A7492B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NMC: +3 pp usable SOC, +1.5 pp RTE (better estimation, harmonic‑aware switching)</w:t>
      </w:r>
    </w:p>
    <w:p xmlns:wp14="http://schemas.microsoft.com/office/word/2010/wordml" w:rsidP="724D040F" wp14:paraId="7FB26320" wp14:textId="137C8CD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LFP: +4 pp usable SOC, +2 pp RTE (active balancing, impedance matching)</w:t>
      </w:r>
    </w:p>
    <w:p xmlns:wp14="http://schemas.microsoft.com/office/word/2010/wordml" w:rsidP="724D040F" wp14:paraId="2E80C983" wp14:textId="25554E72">
      <w:pPr>
        <w:pStyle w:val="Heading3"/>
        <w:bidi w:val="0"/>
        <w:spacing w:before="281" w:beforeAutospacing="off" w:after="281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Results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22"/>
        <w:gridCol w:w="673"/>
        <w:gridCol w:w="1536"/>
        <w:gridCol w:w="1722"/>
        <w:gridCol w:w="1331"/>
        <w:gridCol w:w="1100"/>
        <w:gridCol w:w="967"/>
      </w:tblGrid>
      <w:tr w:rsidR="724D040F" w:rsidTr="724D040F" w14:paraId="0116FE5E">
        <w:trPr>
          <w:trHeight w:val="300"/>
        </w:trPr>
        <w:tc>
          <w:tcPr>
            <w:tcW w:w="2622" w:type="dxa"/>
            <w:tcMar/>
            <w:vAlign w:val="center"/>
          </w:tcPr>
          <w:p w:rsidR="724D040F" w:rsidP="724D040F" w:rsidRDefault="724D040F" w14:paraId="2DB91D8E" w14:textId="41359F15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Model</w:t>
            </w:r>
          </w:p>
        </w:tc>
        <w:tc>
          <w:tcPr>
            <w:tcW w:w="673" w:type="dxa"/>
            <w:tcMar/>
            <w:vAlign w:val="center"/>
          </w:tcPr>
          <w:p w:rsidR="724D040F" w:rsidP="724D040F" w:rsidRDefault="724D040F" w14:paraId="6407AA7F" w14:textId="38F034DE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Chem.</w:t>
            </w:r>
          </w:p>
        </w:tc>
        <w:tc>
          <w:tcPr>
            <w:tcW w:w="1536" w:type="dxa"/>
            <w:tcMar/>
            <w:vAlign w:val="center"/>
          </w:tcPr>
          <w:p w:rsidR="724D040F" w:rsidP="724D040F" w:rsidRDefault="724D040F" w14:paraId="4BB8E163" w14:textId="65B7F904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Nameplate Wh</w:t>
            </w:r>
          </w:p>
        </w:tc>
        <w:tc>
          <w:tcPr>
            <w:tcW w:w="1722" w:type="dxa"/>
            <w:tcMar/>
            <w:vAlign w:val="center"/>
          </w:tcPr>
          <w:p w:rsidR="724D040F" w:rsidP="724D040F" w:rsidRDefault="724D040F" w14:paraId="4FC97245" w14:textId="27E92433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Baseline Eff. Wh</w:t>
            </w:r>
          </w:p>
        </w:tc>
        <w:tc>
          <w:tcPr>
            <w:tcW w:w="1331" w:type="dxa"/>
            <w:tcMar/>
            <w:vAlign w:val="center"/>
          </w:tcPr>
          <w:p w:rsidR="724D040F" w:rsidP="724D040F" w:rsidRDefault="724D040F" w14:paraId="0B369524" w14:textId="4346217D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TFT Eff. Wh</w:t>
            </w:r>
          </w:p>
        </w:tc>
        <w:tc>
          <w:tcPr>
            <w:tcW w:w="1100" w:type="dxa"/>
            <w:tcMar/>
            <w:vAlign w:val="center"/>
          </w:tcPr>
          <w:p w:rsidR="724D040F" w:rsidP="724D040F" w:rsidRDefault="724D040F" w14:paraId="492B2830" w14:textId="089FFE0D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Gain (Wh)</w:t>
            </w:r>
          </w:p>
        </w:tc>
        <w:tc>
          <w:tcPr>
            <w:tcW w:w="967" w:type="dxa"/>
            <w:tcMar/>
            <w:vAlign w:val="center"/>
          </w:tcPr>
          <w:p w:rsidR="724D040F" w:rsidP="724D040F" w:rsidRDefault="724D040F" w14:paraId="495F909E" w14:textId="3800FA2F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Gain (%)</w:t>
            </w:r>
          </w:p>
        </w:tc>
      </w:tr>
      <w:tr w:rsidR="724D040F" w:rsidTr="724D040F" w14:paraId="64B51482">
        <w:trPr>
          <w:trHeight w:val="300"/>
        </w:trPr>
        <w:tc>
          <w:tcPr>
            <w:tcW w:w="2622" w:type="dxa"/>
            <w:tcMar/>
            <w:vAlign w:val="center"/>
          </w:tcPr>
          <w:p w:rsidR="724D040F" w:rsidP="724D040F" w:rsidRDefault="724D040F" w14:paraId="45784811" w14:textId="0A31B6AB">
            <w:pPr>
              <w:bidi w:val="0"/>
              <w:spacing w:before="0" w:beforeAutospacing="off" w:after="0" w:afterAutospacing="off"/>
            </w:pPr>
            <w:r w:rsidR="724D040F">
              <w:rPr/>
              <w:t>EcoFlow DELTA 3 Plus</w:t>
            </w:r>
          </w:p>
        </w:tc>
        <w:tc>
          <w:tcPr>
            <w:tcW w:w="673" w:type="dxa"/>
            <w:tcMar/>
            <w:vAlign w:val="center"/>
          </w:tcPr>
          <w:p w:rsidR="724D040F" w:rsidP="724D040F" w:rsidRDefault="724D040F" w14:paraId="7A10EDFA" w14:textId="30B52F5A">
            <w:pPr>
              <w:bidi w:val="0"/>
              <w:spacing w:before="0" w:beforeAutospacing="off" w:after="0" w:afterAutospacing="off"/>
            </w:pPr>
            <w:r w:rsidR="724D040F">
              <w:rPr/>
              <w:t>NMC</w:t>
            </w:r>
          </w:p>
        </w:tc>
        <w:tc>
          <w:tcPr>
            <w:tcW w:w="1536" w:type="dxa"/>
            <w:tcMar/>
            <w:vAlign w:val="center"/>
          </w:tcPr>
          <w:p w:rsidR="724D040F" w:rsidP="724D040F" w:rsidRDefault="724D040F" w14:paraId="46D7BAEE" w14:textId="427CD0BB">
            <w:pPr>
              <w:bidi w:val="0"/>
              <w:spacing w:before="0" w:beforeAutospacing="off" w:after="0" w:afterAutospacing="off"/>
            </w:pPr>
            <w:r w:rsidR="724D040F">
              <w:rPr/>
              <w:t>3,584</w:t>
            </w:r>
          </w:p>
        </w:tc>
        <w:tc>
          <w:tcPr>
            <w:tcW w:w="1722" w:type="dxa"/>
            <w:tcMar/>
            <w:vAlign w:val="center"/>
          </w:tcPr>
          <w:p w:rsidR="724D040F" w:rsidP="724D040F" w:rsidRDefault="724D040F" w14:paraId="01321EAD" w14:textId="7575B04A">
            <w:pPr>
              <w:bidi w:val="0"/>
              <w:spacing w:before="0" w:beforeAutospacing="off" w:after="0" w:afterAutospacing="off"/>
            </w:pPr>
            <w:r w:rsidR="724D040F">
              <w:rPr/>
              <w:t>3,152</w:t>
            </w:r>
          </w:p>
        </w:tc>
        <w:tc>
          <w:tcPr>
            <w:tcW w:w="1331" w:type="dxa"/>
            <w:tcMar/>
            <w:vAlign w:val="center"/>
          </w:tcPr>
          <w:p w:rsidR="724D040F" w:rsidP="724D040F" w:rsidRDefault="724D040F" w14:paraId="17D12DB0" w14:textId="0A2BD6B3">
            <w:pPr>
              <w:bidi w:val="0"/>
              <w:spacing w:before="0" w:beforeAutospacing="off" w:after="0" w:afterAutospacing="off"/>
            </w:pPr>
            <w:r w:rsidR="724D040F">
              <w:rPr/>
              <w:t>3,314</w:t>
            </w:r>
          </w:p>
        </w:tc>
        <w:tc>
          <w:tcPr>
            <w:tcW w:w="1100" w:type="dxa"/>
            <w:tcMar/>
            <w:vAlign w:val="center"/>
          </w:tcPr>
          <w:p w:rsidR="724D040F" w:rsidP="724D040F" w:rsidRDefault="724D040F" w14:paraId="52D6F09C" w14:textId="60FB9394">
            <w:pPr>
              <w:bidi w:val="0"/>
              <w:spacing w:before="0" w:beforeAutospacing="off" w:after="0" w:afterAutospacing="off"/>
            </w:pPr>
            <w:r w:rsidR="724D040F">
              <w:rPr/>
              <w:t>+162</w:t>
            </w:r>
          </w:p>
        </w:tc>
        <w:tc>
          <w:tcPr>
            <w:tcW w:w="967" w:type="dxa"/>
            <w:tcMar/>
            <w:vAlign w:val="center"/>
          </w:tcPr>
          <w:p w:rsidR="724D040F" w:rsidP="724D040F" w:rsidRDefault="724D040F" w14:paraId="12018172" w14:textId="0262DD38">
            <w:pPr>
              <w:bidi w:val="0"/>
              <w:spacing w:before="0" w:beforeAutospacing="off" w:after="0" w:afterAutospacing="off"/>
            </w:pPr>
            <w:r w:rsidR="724D040F">
              <w:rPr/>
              <w:t>+5.1%</w:t>
            </w:r>
          </w:p>
        </w:tc>
      </w:tr>
      <w:tr w:rsidR="724D040F" w:rsidTr="724D040F" w14:paraId="21DC0189">
        <w:trPr>
          <w:trHeight w:val="300"/>
        </w:trPr>
        <w:tc>
          <w:tcPr>
            <w:tcW w:w="2622" w:type="dxa"/>
            <w:tcMar/>
            <w:vAlign w:val="center"/>
          </w:tcPr>
          <w:p w:rsidR="724D040F" w:rsidP="724D040F" w:rsidRDefault="724D040F" w14:paraId="1A821147" w14:textId="6154B2FF">
            <w:pPr>
              <w:bidi w:val="0"/>
              <w:spacing w:before="0" w:beforeAutospacing="off" w:after="0" w:afterAutospacing="off"/>
            </w:pPr>
            <w:r w:rsidR="724D040F">
              <w:rPr/>
              <w:t>Jackery Explorer 2000 Plus</w:t>
            </w:r>
          </w:p>
        </w:tc>
        <w:tc>
          <w:tcPr>
            <w:tcW w:w="673" w:type="dxa"/>
            <w:tcMar/>
            <w:vAlign w:val="center"/>
          </w:tcPr>
          <w:p w:rsidR="724D040F" w:rsidP="724D040F" w:rsidRDefault="724D040F" w14:paraId="4F1BE956" w14:textId="3BE03192">
            <w:pPr>
              <w:bidi w:val="0"/>
              <w:spacing w:before="0" w:beforeAutospacing="off" w:after="0" w:afterAutospacing="off"/>
            </w:pPr>
            <w:r w:rsidR="724D040F">
              <w:rPr/>
              <w:t>NMC</w:t>
            </w:r>
          </w:p>
        </w:tc>
        <w:tc>
          <w:tcPr>
            <w:tcW w:w="1536" w:type="dxa"/>
            <w:tcMar/>
            <w:vAlign w:val="center"/>
          </w:tcPr>
          <w:p w:rsidR="724D040F" w:rsidP="724D040F" w:rsidRDefault="724D040F" w14:paraId="136F7F2A" w14:textId="7DD41389">
            <w:pPr>
              <w:bidi w:val="0"/>
              <w:spacing w:before="0" w:beforeAutospacing="off" w:after="0" w:afterAutospacing="off"/>
            </w:pPr>
            <w:r w:rsidR="724D040F">
              <w:rPr/>
              <w:t>2,042</w:t>
            </w:r>
          </w:p>
        </w:tc>
        <w:tc>
          <w:tcPr>
            <w:tcW w:w="1722" w:type="dxa"/>
            <w:tcMar/>
            <w:vAlign w:val="center"/>
          </w:tcPr>
          <w:p w:rsidR="724D040F" w:rsidP="724D040F" w:rsidRDefault="724D040F" w14:paraId="1FB8E08A" w14:textId="3EF0F572">
            <w:pPr>
              <w:bidi w:val="0"/>
              <w:spacing w:before="0" w:beforeAutospacing="off" w:after="0" w:afterAutospacing="off"/>
            </w:pPr>
            <w:r w:rsidR="724D040F">
              <w:rPr/>
              <w:t>1,796</w:t>
            </w:r>
          </w:p>
        </w:tc>
        <w:tc>
          <w:tcPr>
            <w:tcW w:w="1331" w:type="dxa"/>
            <w:tcMar/>
            <w:vAlign w:val="center"/>
          </w:tcPr>
          <w:p w:rsidR="724D040F" w:rsidP="724D040F" w:rsidRDefault="724D040F" w14:paraId="4A5FB5A5" w14:textId="421E9320">
            <w:pPr>
              <w:bidi w:val="0"/>
              <w:spacing w:before="0" w:beforeAutospacing="off" w:after="0" w:afterAutospacing="off"/>
            </w:pPr>
            <w:r w:rsidR="724D040F">
              <w:rPr/>
              <w:t>1,889</w:t>
            </w:r>
          </w:p>
        </w:tc>
        <w:tc>
          <w:tcPr>
            <w:tcW w:w="1100" w:type="dxa"/>
            <w:tcMar/>
            <w:vAlign w:val="center"/>
          </w:tcPr>
          <w:p w:rsidR="724D040F" w:rsidP="724D040F" w:rsidRDefault="724D040F" w14:paraId="27060198" w14:textId="53DBB396">
            <w:pPr>
              <w:bidi w:val="0"/>
              <w:spacing w:before="0" w:beforeAutospacing="off" w:after="0" w:afterAutospacing="off"/>
            </w:pPr>
            <w:r w:rsidR="724D040F">
              <w:rPr/>
              <w:t>+93</w:t>
            </w:r>
          </w:p>
        </w:tc>
        <w:tc>
          <w:tcPr>
            <w:tcW w:w="967" w:type="dxa"/>
            <w:tcMar/>
            <w:vAlign w:val="center"/>
          </w:tcPr>
          <w:p w:rsidR="724D040F" w:rsidP="724D040F" w:rsidRDefault="724D040F" w14:paraId="5DCF8E9D" w14:textId="1A00BF83">
            <w:pPr>
              <w:bidi w:val="0"/>
              <w:spacing w:before="0" w:beforeAutospacing="off" w:after="0" w:afterAutospacing="off"/>
            </w:pPr>
            <w:r w:rsidR="724D040F">
              <w:rPr/>
              <w:t>+5.2%</w:t>
            </w:r>
          </w:p>
        </w:tc>
      </w:tr>
      <w:tr w:rsidR="724D040F" w:rsidTr="724D040F" w14:paraId="310CF5E9">
        <w:trPr>
          <w:trHeight w:val="300"/>
        </w:trPr>
        <w:tc>
          <w:tcPr>
            <w:tcW w:w="2622" w:type="dxa"/>
            <w:tcMar/>
            <w:vAlign w:val="center"/>
          </w:tcPr>
          <w:p w:rsidR="724D040F" w:rsidP="724D040F" w:rsidRDefault="724D040F" w14:paraId="3173858B" w14:textId="40044A25">
            <w:pPr>
              <w:bidi w:val="0"/>
              <w:spacing w:before="0" w:beforeAutospacing="off" w:after="0" w:afterAutospacing="off"/>
            </w:pPr>
            <w:r w:rsidR="724D040F">
              <w:rPr/>
              <w:t>BLUETTI AC200L</w:t>
            </w:r>
          </w:p>
        </w:tc>
        <w:tc>
          <w:tcPr>
            <w:tcW w:w="673" w:type="dxa"/>
            <w:tcMar/>
            <w:vAlign w:val="center"/>
          </w:tcPr>
          <w:p w:rsidR="724D040F" w:rsidP="724D040F" w:rsidRDefault="724D040F" w14:paraId="00FF2186" w14:textId="1A0BBED8">
            <w:pPr>
              <w:bidi w:val="0"/>
              <w:spacing w:before="0" w:beforeAutospacing="off" w:after="0" w:afterAutospacing="off"/>
            </w:pPr>
            <w:r w:rsidR="724D040F">
              <w:rPr/>
              <w:t>LFP</w:t>
            </w:r>
          </w:p>
        </w:tc>
        <w:tc>
          <w:tcPr>
            <w:tcW w:w="1536" w:type="dxa"/>
            <w:tcMar/>
            <w:vAlign w:val="center"/>
          </w:tcPr>
          <w:p w:rsidR="724D040F" w:rsidP="724D040F" w:rsidRDefault="724D040F" w14:paraId="4161A9B5" w14:textId="50F1DBF8">
            <w:pPr>
              <w:bidi w:val="0"/>
              <w:spacing w:before="0" w:beforeAutospacing="off" w:after="0" w:afterAutospacing="off"/>
            </w:pPr>
            <w:r w:rsidR="724D040F">
              <w:rPr/>
              <w:t>2,048</w:t>
            </w:r>
          </w:p>
        </w:tc>
        <w:tc>
          <w:tcPr>
            <w:tcW w:w="1722" w:type="dxa"/>
            <w:tcMar/>
            <w:vAlign w:val="center"/>
          </w:tcPr>
          <w:p w:rsidR="724D040F" w:rsidP="724D040F" w:rsidRDefault="724D040F" w14:paraId="172981A8" w14:textId="386004A5">
            <w:pPr>
              <w:bidi w:val="0"/>
              <w:spacing w:before="0" w:beforeAutospacing="off" w:after="0" w:afterAutospacing="off"/>
            </w:pPr>
            <w:r w:rsidR="724D040F">
              <w:rPr/>
              <w:t>1,732</w:t>
            </w:r>
          </w:p>
        </w:tc>
        <w:tc>
          <w:tcPr>
            <w:tcW w:w="1331" w:type="dxa"/>
            <w:tcMar/>
            <w:vAlign w:val="center"/>
          </w:tcPr>
          <w:p w:rsidR="724D040F" w:rsidP="724D040F" w:rsidRDefault="724D040F" w14:paraId="5C4A58F1" w14:textId="6F4CAEB4">
            <w:pPr>
              <w:bidi w:val="0"/>
              <w:spacing w:before="0" w:beforeAutospacing="off" w:after="0" w:afterAutospacing="off"/>
            </w:pPr>
            <w:r w:rsidR="724D040F">
              <w:rPr/>
              <w:t>1,841</w:t>
            </w:r>
          </w:p>
        </w:tc>
        <w:tc>
          <w:tcPr>
            <w:tcW w:w="1100" w:type="dxa"/>
            <w:tcMar/>
            <w:vAlign w:val="center"/>
          </w:tcPr>
          <w:p w:rsidR="724D040F" w:rsidP="724D040F" w:rsidRDefault="724D040F" w14:paraId="5499539A" w14:textId="1F4FA219">
            <w:pPr>
              <w:bidi w:val="0"/>
              <w:spacing w:before="0" w:beforeAutospacing="off" w:after="0" w:afterAutospacing="off"/>
            </w:pPr>
            <w:r w:rsidR="724D040F">
              <w:rPr/>
              <w:t>+109</w:t>
            </w:r>
          </w:p>
        </w:tc>
        <w:tc>
          <w:tcPr>
            <w:tcW w:w="967" w:type="dxa"/>
            <w:tcMar/>
            <w:vAlign w:val="center"/>
          </w:tcPr>
          <w:p w:rsidR="724D040F" w:rsidP="724D040F" w:rsidRDefault="724D040F" w14:paraId="71D43AE3" w14:textId="78F685D5">
            <w:pPr>
              <w:bidi w:val="0"/>
              <w:spacing w:before="0" w:beforeAutospacing="off" w:after="0" w:afterAutospacing="off"/>
            </w:pPr>
            <w:r w:rsidR="724D040F">
              <w:rPr/>
              <w:t>+6.3%</w:t>
            </w:r>
          </w:p>
        </w:tc>
      </w:tr>
    </w:tbl>
    <w:p xmlns:wp14="http://schemas.microsoft.com/office/word/2010/wordml" w:rsidP="724D040F" wp14:paraId="6B021F81" wp14:textId="4E6039C1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⚡ What TFT Is Doing Here</w:t>
      </w:r>
    </w:p>
    <w:p xmlns:wp14="http://schemas.microsoft.com/office/word/2010/wordml" w:rsidP="724D040F" wp14:paraId="4B351A39" wp14:textId="36FBDC6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Signal: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Synchronized sensing reduces SOC estimation error → narrower safety buffers.</w:t>
      </w:r>
    </w:p>
    <w:p xmlns:wp14="http://schemas.microsoft.com/office/word/2010/wordml" w:rsidP="724D040F" wp14:paraId="78EBB87B" wp14:textId="549D4DC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Structure: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Adaptive balancing trims cell‑to‑cell delta‑V → more usable capacity without stressing weakest cells.</w:t>
      </w:r>
    </w:p>
    <w:p xmlns:wp14="http://schemas.microsoft.com/office/word/2010/wordml" w:rsidP="724D040F" wp14:paraId="326147B2" wp14:textId="41CBB0A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Scheduling: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Charge/discharge orchestration aligns high‑current events with thermal headroom → higher RTE.</w:t>
      </w:r>
    </w:p>
    <w:p xmlns:wp14="http://schemas.microsoft.com/office/word/2010/wordml" w:rsidP="724D040F" wp14:paraId="013401A6" wp14:textId="3B498F8C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💰 Annualized Value (TOU Arbitrage Example)</w:t>
      </w:r>
    </w:p>
    <w:p xmlns:wp14="http://schemas.microsoft.com/office/word/2010/wordml" w:rsidP="724D040F" wp14:paraId="667008BF" wp14:textId="6670BD75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Assume:</w:t>
      </w:r>
    </w:p>
    <w:p xmlns:wp14="http://schemas.microsoft.com/office/word/2010/wordml" w:rsidP="724D040F" wp14:paraId="2F4E5230" wp14:textId="19CC628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TOU spread: $0.25/kWh</w:t>
      </w:r>
    </w:p>
    <w:p xmlns:wp14="http://schemas.microsoft.com/office/word/2010/wordml" w:rsidP="724D040F" wp14:paraId="4C7DB474" wp14:textId="228DDBF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1 cycle/day</w:t>
      </w:r>
    </w:p>
    <w:p xmlns:wp14="http://schemas.microsoft.com/office/word/2010/wordml" w:rsidP="724D040F" wp14:paraId="01B1A6A7" wp14:textId="25F2585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90% of gain is usable for arbitrage</w:t>
      </w:r>
    </w:p>
    <w:p xmlns:wp14="http://schemas.microsoft.com/office/word/2010/wordml" w:rsidP="724D040F" wp14:paraId="017B920D" wp14:textId="1DDD1903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 annual value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Gain (Wh) × 0.9 × 365 × $0.25/kWh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22"/>
        <w:gridCol w:w="2327"/>
      </w:tblGrid>
      <w:tr w:rsidR="724D040F" w:rsidTr="724D040F" w14:paraId="51BDEE51">
        <w:trPr>
          <w:trHeight w:val="300"/>
        </w:trPr>
        <w:tc>
          <w:tcPr>
            <w:tcW w:w="2922" w:type="dxa"/>
            <w:tcMar/>
            <w:vAlign w:val="center"/>
          </w:tcPr>
          <w:p w:rsidR="724D040F" w:rsidP="724D040F" w:rsidRDefault="724D040F" w14:paraId="01560CE6" w14:textId="0D88FF29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Model</w:t>
            </w:r>
          </w:p>
        </w:tc>
        <w:tc>
          <w:tcPr>
            <w:tcW w:w="2327" w:type="dxa"/>
            <w:tcMar/>
            <w:vAlign w:val="center"/>
          </w:tcPr>
          <w:p w:rsidR="724D040F" w:rsidP="724D040F" w:rsidRDefault="724D040F" w14:paraId="2B567A20" w14:textId="3844960B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Extra Annual Value</w:t>
            </w:r>
          </w:p>
        </w:tc>
      </w:tr>
      <w:tr w:rsidR="724D040F" w:rsidTr="724D040F" w14:paraId="58078929">
        <w:trPr>
          <w:trHeight w:val="300"/>
        </w:trPr>
        <w:tc>
          <w:tcPr>
            <w:tcW w:w="2922" w:type="dxa"/>
            <w:tcMar/>
            <w:vAlign w:val="center"/>
          </w:tcPr>
          <w:p w:rsidR="724D040F" w:rsidP="724D040F" w:rsidRDefault="724D040F" w14:paraId="4971F9FC" w14:textId="25C0E643">
            <w:pPr>
              <w:bidi w:val="0"/>
              <w:spacing w:before="0" w:beforeAutospacing="off" w:after="0" w:afterAutospacing="off"/>
            </w:pPr>
            <w:r w:rsidR="724D040F">
              <w:rPr/>
              <w:t>EcoFlow DELTA 3 Plus</w:t>
            </w:r>
          </w:p>
        </w:tc>
        <w:tc>
          <w:tcPr>
            <w:tcW w:w="2327" w:type="dxa"/>
            <w:tcMar/>
            <w:vAlign w:val="center"/>
          </w:tcPr>
          <w:p w:rsidR="724D040F" w:rsidP="724D040F" w:rsidRDefault="724D040F" w14:paraId="49C47D0D" w14:textId="1C467E63">
            <w:pPr>
              <w:bidi w:val="0"/>
              <w:spacing w:before="0" w:beforeAutospacing="off" w:after="0" w:afterAutospacing="off"/>
            </w:pPr>
            <w:r w:rsidR="724D040F">
              <w:rPr/>
              <w:t>~$13.35</w:t>
            </w:r>
          </w:p>
        </w:tc>
      </w:tr>
      <w:tr w:rsidR="724D040F" w:rsidTr="724D040F" w14:paraId="476DA19E">
        <w:trPr>
          <w:trHeight w:val="300"/>
        </w:trPr>
        <w:tc>
          <w:tcPr>
            <w:tcW w:w="2922" w:type="dxa"/>
            <w:tcMar/>
            <w:vAlign w:val="center"/>
          </w:tcPr>
          <w:p w:rsidR="724D040F" w:rsidP="724D040F" w:rsidRDefault="724D040F" w14:paraId="785D529F" w14:textId="5D8F51CD">
            <w:pPr>
              <w:bidi w:val="0"/>
              <w:spacing w:before="0" w:beforeAutospacing="off" w:after="0" w:afterAutospacing="off"/>
            </w:pPr>
            <w:r w:rsidR="724D040F">
              <w:rPr/>
              <w:t>Jackery Explorer 2000 Plus</w:t>
            </w:r>
          </w:p>
        </w:tc>
        <w:tc>
          <w:tcPr>
            <w:tcW w:w="2327" w:type="dxa"/>
            <w:tcMar/>
            <w:vAlign w:val="center"/>
          </w:tcPr>
          <w:p w:rsidR="724D040F" w:rsidP="724D040F" w:rsidRDefault="724D040F" w14:paraId="0515B81F" w14:textId="3BD85AF1">
            <w:pPr>
              <w:bidi w:val="0"/>
              <w:spacing w:before="0" w:beforeAutospacing="off" w:after="0" w:afterAutospacing="off"/>
            </w:pPr>
            <w:r w:rsidR="724D040F">
              <w:rPr/>
              <w:t>~$7.64</w:t>
            </w:r>
          </w:p>
        </w:tc>
      </w:tr>
      <w:tr w:rsidR="724D040F" w:rsidTr="724D040F" w14:paraId="034EAD39">
        <w:trPr>
          <w:trHeight w:val="300"/>
        </w:trPr>
        <w:tc>
          <w:tcPr>
            <w:tcW w:w="2922" w:type="dxa"/>
            <w:tcMar/>
            <w:vAlign w:val="center"/>
          </w:tcPr>
          <w:p w:rsidR="724D040F" w:rsidP="724D040F" w:rsidRDefault="724D040F" w14:paraId="31B94FF8" w14:textId="507BD403">
            <w:pPr>
              <w:bidi w:val="0"/>
              <w:spacing w:before="0" w:beforeAutospacing="off" w:after="0" w:afterAutospacing="off"/>
            </w:pPr>
            <w:r w:rsidR="724D040F">
              <w:rPr/>
              <w:t>BLUETTI AC200L</w:t>
            </w:r>
          </w:p>
        </w:tc>
        <w:tc>
          <w:tcPr>
            <w:tcW w:w="2327" w:type="dxa"/>
            <w:tcMar/>
            <w:vAlign w:val="center"/>
          </w:tcPr>
          <w:p w:rsidR="724D040F" w:rsidP="724D040F" w:rsidRDefault="724D040F" w14:paraId="023B3FF0" w14:textId="65248EF6">
            <w:pPr>
              <w:bidi w:val="0"/>
              <w:spacing w:before="0" w:beforeAutospacing="off" w:after="0" w:afterAutospacing="off"/>
            </w:pPr>
            <w:r w:rsidR="724D040F">
              <w:rPr/>
              <w:t>~$8.96</w:t>
            </w:r>
          </w:p>
        </w:tc>
      </w:tr>
    </w:tbl>
    <w:p xmlns:wp14="http://schemas.microsoft.com/office/word/2010/wordml" w:rsidP="724D040F" wp14:paraId="6FB3EF19" wp14:textId="4E8161F4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are </w:t>
      </w:r>
      <w:r w:rsidRPr="724D040F" w:rsidR="312659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just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incremental gains from TFT; total arbitrage value is higher when counting the whole capacity.</w:t>
      </w:r>
    </w:p>
    <w:p xmlns:wp14="http://schemas.microsoft.com/office/word/2010/wordml" w:rsidP="724D040F" wp14:paraId="2F4FB80B" wp14:textId="2E64131A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Why This Matters</w:t>
      </w:r>
    </w:p>
    <w:p xmlns:wp14="http://schemas.microsoft.com/office/word/2010/wordml" w:rsidP="724D040F" wp14:paraId="2CB1B09F" wp14:textId="051F2087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 fleet context — say, 10,000 mid‑level units in a utility’s service area — TFT firmware could unlock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~1 GWh/year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extra dispatchable energy </w:t>
      </w:r>
      <w:r w:rsidRPr="724D040F" w:rsidR="312659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without adding a single cell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. That’s pure efficiency and control intelligence.</w:t>
      </w:r>
    </w:p>
    <w:p xmlns:wp14="http://schemas.microsoft.com/office/word/2010/wordml" w:rsidP="724D040F" wp14:paraId="171471E5" wp14:textId="14C18C1D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like, I can take one of these models (say, the BLUETTI AC200L for its LFP chemistry) and build a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lab‑test protocol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baseline firmware vs. TFT firmware, with SOC/SOH logging, harmonic analysis, and thermal mapping. That would give us publishable, reproducible data for the “mid‑level power station” use case.</w:t>
      </w:r>
    </w:p>
    <w:p xmlns:wp14="http://schemas.microsoft.com/office/word/2010/wordml" w:rsidP="724D040F" wp14:paraId="07ECB309" wp14:textId="38792DC3">
      <w:pPr>
        <w:bidi w:val="0"/>
        <w:spacing w:before="0" w:beforeAutospacing="off" w:after="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That was good. When we discussed this stuff a few days ago you mentioned Zinc, how it suffers today and how this might help extend cycles to 10k. Can we do a bit on that, and any other types like silicon and sodium? I think there's something else big after this...</w:t>
      </w:r>
    </w:p>
    <w:p xmlns:wp14="http://schemas.microsoft.com/office/word/2010/wordml" w:rsidP="724D040F" wp14:paraId="07C2C3EC" wp14:textId="00A73A2F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Alright, Andrew — let’s line up the three chemistries and look at where they stumble today, then map how a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TFT‑style Signal–Structure–Scheduling layer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push them toward that “10 k+ cycle” club you’ve been eyeing.</w:t>
      </w:r>
    </w:p>
    <w:p xmlns:wp14="http://schemas.microsoft.com/office/word/2010/wordml" w:rsidP="724D040F" wp14:paraId="7F918E19" wp14:textId="07457F12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Zinc — From Short‑Lived to Ultra‑Durable</w:t>
      </w:r>
    </w:p>
    <w:p xmlns:wp14="http://schemas.microsoft.com/office/word/2010/wordml" w:rsidP="724D040F" wp14:paraId="0D9B3A32" wp14:textId="44040973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pain points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</w:p>
    <w:p xmlns:wp14="http://schemas.microsoft.com/office/word/2010/wordml" w:rsidP="724D040F" wp14:paraId="0AB4216E" wp14:textId="31AE4B5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Dendrites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Needle‑like zinc growths pierce separators, shorting cells.</w:t>
      </w:r>
    </w:p>
    <w:p xmlns:wp14="http://schemas.microsoft.com/office/word/2010/wordml" w:rsidP="724D040F" wp14:paraId="69723032" wp14:textId="77C2C90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Corrosion &amp; Hydrogen Evolution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Side reactions eat active material and gas out electrolyte.</w:t>
      </w:r>
    </w:p>
    <w:p xmlns:wp14="http://schemas.microsoft.com/office/word/2010/wordml" w:rsidP="724D040F" wp14:paraId="7D5A3DBE" wp14:textId="169C024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Shape Change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Uneven plating/stripping leads to loss of contact and capacity fade.</w:t>
      </w:r>
    </w:p>
    <w:p xmlns:wp14="http://schemas.microsoft.com/office/word/2010/wordml" w:rsidP="724D040F" wp14:paraId="0F765666" wp14:textId="4E22D916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Recent breakthroughs</w:t>
      </w:r>
    </w:p>
    <w:p xmlns:wp14="http://schemas.microsoft.com/office/word/2010/wordml" w:rsidP="724D040F" wp14:paraId="4FBA0A3F" wp14:textId="1815546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TUM’s porous fluorinated polymer (TpBD‑2F) coats the anode, letting Zn²⁺ through but blocking water molecules and suppressing hydrogen formation — lab cells have hit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100,000 cycles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controlled conditions.</w:t>
      </w:r>
    </w:p>
    <w:p xmlns:wp14="http://schemas.microsoft.com/office/word/2010/wordml" w:rsidP="724D040F" wp14:paraId="6032474B" wp14:textId="7DD5652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3D nanoporous Zn–Cu alloy anodes promote uniform deposition and resist dendrite growth.</w:t>
      </w:r>
    </w:p>
    <w:p xmlns:wp14="http://schemas.microsoft.com/office/word/2010/wordml" w:rsidP="724D040F" wp14:paraId="615B4B5E" wp14:textId="148DEB7C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uplift potential</w:t>
      </w:r>
    </w:p>
    <w:p xmlns:wp14="http://schemas.microsoft.com/office/word/2010/wordml" w:rsidP="724D040F" wp14:paraId="45FB1E15" wp14:textId="2BF4197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High‑resolution impedance tracking to detect early dendrite nucleation.</w:t>
      </w:r>
    </w:p>
    <w:p xmlns:wp14="http://schemas.microsoft.com/office/word/2010/wordml" w:rsidP="724D040F" wp14:paraId="2A9E9AF9" wp14:textId="69E7957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Adaptive current steering to under‑utilized regions of the electrode.</w:t>
      </w:r>
    </w:p>
    <w:p xmlns:wp14="http://schemas.microsoft.com/office/word/2010/wordml" w:rsidP="724D040F" wp14:paraId="08153996" wp14:textId="6BBFBB4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Pulse‑rest‑pulse patterns to dissolve nascent dendrites without halting service.</w:t>
      </w:r>
    </w:p>
    <w:p xmlns:wp14="http://schemas.microsoft.com/office/word/2010/wordml" w:rsidP="724D040F" wp14:paraId="55FB98E7" wp14:textId="7E5FF43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Move commercial ZIBs from ~2–3 k cycles toward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 k+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grid duty by actively managing plating morphology.</w:t>
      </w:r>
    </w:p>
    <w:p xmlns:wp14="http://schemas.microsoft.com/office/word/2010/wordml" w:rsidP="724D040F" wp14:paraId="0EDC33F4" wp14:textId="79915365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🔋 Silicon — Taming the Expansion Beast</w:t>
      </w:r>
    </w:p>
    <w:p xmlns:wp14="http://schemas.microsoft.com/office/word/2010/wordml" w:rsidP="724D040F" wp14:paraId="7EA5E86A" wp14:textId="428E7832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pain points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</w:p>
    <w:p xmlns:wp14="http://schemas.microsoft.com/office/word/2010/wordml" w:rsidP="724D040F" wp14:paraId="464424B2" wp14:textId="0F374CC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Volume Expansion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Up to 300% during lithiation → particle fracture, SEI regrowth, loss of contact.</w:t>
      </w:r>
    </w:p>
    <w:p xmlns:wp14="http://schemas.microsoft.com/office/word/2010/wordml" w:rsidP="724D040F" wp14:paraId="04488D7E" wp14:textId="543FD8C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Cycle Life Ceiling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Historically &lt;1,000 cycles for high‑Si content anodes.</w:t>
      </w:r>
    </w:p>
    <w:p xmlns:wp14="http://schemas.microsoft.com/office/word/2010/wordml" w:rsidP="724D040F" wp14:paraId="63719EA1" wp14:textId="23E75099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Recent breakthroughs</w:t>
      </w:r>
    </w:p>
    <w:p xmlns:wp14="http://schemas.microsoft.com/office/word/2010/wordml" w:rsidP="724D040F" wp14:paraId="26A4B88D" wp14:textId="08E151D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Group14’s SCC55 silicon–carbon scaffold: &gt;1,500 cycles in customer cells, some &gt;3,000, with 30–50% higher energy density than graphite.</w:t>
      </w:r>
    </w:p>
    <w:p xmlns:wp14="http://schemas.microsoft.com/office/word/2010/wordml" w:rsidP="724D040F" wp14:paraId="1400DB46" wp14:textId="211B9CF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Porous silicon architectures (e.g., LeydenJar) accommodate expansion without pulverization.</w:t>
      </w:r>
    </w:p>
    <w:p xmlns:wp14="http://schemas.microsoft.com/office/word/2010/wordml" w:rsidP="724D040F" wp14:paraId="4CDE586A" wp14:textId="5CDDC740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uplift potential</w:t>
      </w:r>
    </w:p>
    <w:p xmlns:wp14="http://schemas.microsoft.com/office/word/2010/wordml" w:rsidP="724D040F" wp14:paraId="03CACD27" wp14:textId="3F327E9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Strain‑aware SOC estimation to avoid high‑stress lithiation states.</w:t>
      </w:r>
    </w:p>
    <w:p xmlns:wp14="http://schemas.microsoft.com/office/word/2010/wordml" w:rsidP="724D040F" wp14:paraId="18B5B7C6" wp14:textId="2F36C29A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Dynamic balancing between parallel cells to spread mechanical load.</w:t>
      </w:r>
    </w:p>
    <w:p xmlns:wp14="http://schemas.microsoft.com/office/word/2010/wordml" w:rsidP="724D040F" wp14:paraId="3DFE1FA0" wp14:textId="1F58ACAF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Temperature‑gated fast‑charge windows to minimize SEI thickening.</w:t>
      </w:r>
    </w:p>
    <w:p xmlns:wp14="http://schemas.microsoft.com/office/word/2010/wordml" w:rsidP="724D040F" wp14:paraId="02FE2631" wp14:textId="605C88B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Push silicon‑dominant EV packs from ~3 k cycles toward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5–7 k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mixed‑use, or higher in stationary ESS.</w:t>
      </w:r>
    </w:p>
    <w:p xmlns:wp14="http://schemas.microsoft.com/office/word/2010/wordml" w:rsidP="724D040F" wp14:paraId="662F5F49" wp14:textId="3892D0FD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🧂 Sodium — Closing the Gap with Li‑ion</w:t>
      </w:r>
    </w:p>
    <w:p xmlns:wp14="http://schemas.microsoft.com/office/word/2010/wordml" w:rsidP="724D040F" wp14:paraId="302D460C" wp14:textId="281A3CCC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pain points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</w:p>
    <w:p xmlns:wp14="http://schemas.microsoft.com/office/word/2010/wordml" w:rsidP="724D040F" wp14:paraId="21794453" wp14:textId="2FFADBE1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Energy Density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Larger Na⁺ ions limit packing efficiency.</w:t>
      </w:r>
    </w:p>
    <w:p xmlns:wp14="http://schemas.microsoft.com/office/word/2010/wordml" w:rsidP="724D040F" wp14:paraId="173E487F" wp14:textId="248EA9B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Cycle Life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Early Na‑ion cells &lt;1,000 cycles; dendrites and structural fatigue still issues.</w:t>
      </w:r>
    </w:p>
    <w:p xmlns:wp14="http://schemas.microsoft.com/office/word/2010/wordml" w:rsidP="724D040F" wp14:paraId="3343E0DA" wp14:textId="1DC4B9D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Ion Mobility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Slower diffusion through electrode lattices.</w:t>
      </w:r>
    </w:p>
    <w:p xmlns:wp14="http://schemas.microsoft.com/office/word/2010/wordml" w:rsidP="724D040F" wp14:paraId="7694630B" wp14:textId="3C4B5274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Recent breakthroughs</w:t>
      </w:r>
    </w:p>
    <w:p xmlns:wp14="http://schemas.microsoft.com/office/word/2010/wordml" w:rsidP="724D040F" wp14:paraId="77C68A81" wp14:textId="6C2ACB9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Hard‑carbon anodes and stable layered oxide cathodes now delivering Li‑ion‑like cycle life in some stationary applications.</w:t>
      </w:r>
    </w:p>
    <w:p xmlns:wp14="http://schemas.microsoft.com/office/word/2010/wordml" w:rsidP="724D040F" wp14:paraId="552D3056" wp14:textId="4D003FE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Iron–sodium variants showing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7,000‑cycle / 20‑year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projections for long‑duration storage.</w:t>
      </w:r>
    </w:p>
    <w:p xmlns:wp14="http://schemas.microsoft.com/office/word/2010/wordml" w:rsidP="724D040F" wp14:paraId="396F2649" wp14:textId="7D1B70D2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uplift potential</w:t>
      </w:r>
    </w:p>
    <w:p xmlns:wp14="http://schemas.microsoft.com/office/word/2010/wordml" w:rsidP="724D040F" wp14:paraId="374154F1" wp14:textId="3CD3336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Precision thermal mapping to keep Na⁺ mobility in optimal range.</w:t>
      </w:r>
    </w:p>
    <w:p xmlns:wp14="http://schemas.microsoft.com/office/word/2010/wordml" w:rsidP="724D040F" wp14:paraId="5BF78AB2" wp14:textId="6E41754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SOC window tuning to avoid phase transitions that crack electrodes.</w:t>
      </w:r>
    </w:p>
    <w:p xmlns:wp14="http://schemas.microsoft.com/office/word/2010/wordml" w:rsidP="724D040F" wp14:paraId="457CB977" wp14:textId="55A4593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>: Align high‑current events with peak conductivity periods (temp + SOC sweet spots).</w:t>
      </w:r>
    </w:p>
    <w:p xmlns:wp14="http://schemas.microsoft.com/office/word/2010/wordml" w:rsidP="724D040F" wp14:paraId="5C101730" wp14:textId="57C9862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Lift robust Na‑ion chemistries into the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8–10 k cycle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tier for grid and microgrid storage.</w:t>
      </w:r>
    </w:p>
    <w:p xmlns:wp14="http://schemas.microsoft.com/office/word/2010/wordml" w:rsidP="724D040F" wp14:paraId="25FD0985" wp14:textId="1B2B9CB9">
      <w:pPr>
        <w:pStyle w:val="Heading2"/>
        <w:bidi w:val="0"/>
        <w:spacing w:before="299" w:beforeAutospacing="off" w:after="299" w:afterAutospacing="off"/>
      </w:pPr>
      <w:r w:rsidRPr="724D040F" w:rsidR="312659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Cross‑Chemistry Takeaway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26"/>
        <w:gridCol w:w="2714"/>
        <w:gridCol w:w="3280"/>
        <w:gridCol w:w="1887"/>
      </w:tblGrid>
      <w:tr w:rsidR="724D040F" w:rsidTr="724D040F" w14:paraId="7E850E39">
        <w:trPr>
          <w:trHeight w:val="300"/>
        </w:trPr>
        <w:tc>
          <w:tcPr>
            <w:tcW w:w="2326" w:type="dxa"/>
            <w:tcMar/>
            <w:vAlign w:val="center"/>
          </w:tcPr>
          <w:p w:rsidR="724D040F" w:rsidP="724D040F" w:rsidRDefault="724D040F" w14:paraId="16C3F991" w14:textId="45267A68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Chemistry</w:t>
            </w:r>
          </w:p>
        </w:tc>
        <w:tc>
          <w:tcPr>
            <w:tcW w:w="2714" w:type="dxa"/>
            <w:tcMar/>
            <w:vAlign w:val="center"/>
          </w:tcPr>
          <w:p w:rsidR="724D040F" w:rsidP="724D040F" w:rsidRDefault="724D040F" w14:paraId="41BFECD0" w14:textId="45BBCAB7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Today’s Typical Cycle Life</w:t>
            </w:r>
          </w:p>
        </w:tc>
        <w:tc>
          <w:tcPr>
            <w:tcW w:w="3280" w:type="dxa"/>
            <w:tcMar/>
            <w:vAlign w:val="center"/>
          </w:tcPr>
          <w:p w:rsidR="724D040F" w:rsidP="724D040F" w:rsidRDefault="724D040F" w14:paraId="4EFF3080" w14:textId="164EF357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Lab‑Demonstrated Best</w:t>
            </w:r>
          </w:p>
        </w:tc>
        <w:tc>
          <w:tcPr>
            <w:tcW w:w="1887" w:type="dxa"/>
            <w:tcMar/>
            <w:vAlign w:val="center"/>
          </w:tcPr>
          <w:p w:rsidR="724D040F" w:rsidP="724D040F" w:rsidRDefault="724D040F" w14:paraId="7843E92B" w14:textId="639999F7">
            <w:pPr>
              <w:bidi w:val="0"/>
              <w:spacing w:before="0" w:beforeAutospacing="off" w:after="0" w:afterAutospacing="off"/>
              <w:jc w:val="center"/>
            </w:pPr>
            <w:r w:rsidRPr="724D040F" w:rsidR="724D040F">
              <w:rPr>
                <w:b w:val="1"/>
                <w:bCs w:val="1"/>
              </w:rPr>
              <w:t>TFT‑Aided Target</w:t>
            </w:r>
          </w:p>
        </w:tc>
      </w:tr>
      <w:tr w:rsidR="724D040F" w:rsidTr="724D040F" w14:paraId="0BF80CDD">
        <w:trPr>
          <w:trHeight w:val="300"/>
        </w:trPr>
        <w:tc>
          <w:tcPr>
            <w:tcW w:w="2326" w:type="dxa"/>
            <w:tcMar/>
            <w:vAlign w:val="center"/>
          </w:tcPr>
          <w:p w:rsidR="724D040F" w:rsidP="724D040F" w:rsidRDefault="724D040F" w14:paraId="6C9B073E" w14:textId="46745196">
            <w:pPr>
              <w:bidi w:val="0"/>
              <w:spacing w:before="0" w:beforeAutospacing="off" w:after="0" w:afterAutospacing="off"/>
            </w:pPr>
            <w:r w:rsidR="724D040F">
              <w:rPr/>
              <w:t>Zinc‑ion</w:t>
            </w:r>
          </w:p>
        </w:tc>
        <w:tc>
          <w:tcPr>
            <w:tcW w:w="2714" w:type="dxa"/>
            <w:tcMar/>
            <w:vAlign w:val="center"/>
          </w:tcPr>
          <w:p w:rsidR="724D040F" w:rsidP="724D040F" w:rsidRDefault="724D040F" w14:paraId="67E7A605" w14:textId="5A6D32F1">
            <w:pPr>
              <w:bidi w:val="0"/>
              <w:spacing w:before="0" w:beforeAutospacing="off" w:after="0" w:afterAutospacing="off"/>
            </w:pPr>
            <w:r w:rsidR="724D040F">
              <w:rPr/>
              <w:t>2–3 k</w:t>
            </w:r>
          </w:p>
        </w:tc>
        <w:tc>
          <w:tcPr>
            <w:tcW w:w="3280" w:type="dxa"/>
            <w:tcMar/>
            <w:vAlign w:val="center"/>
          </w:tcPr>
          <w:p w:rsidR="724D040F" w:rsidP="724D040F" w:rsidRDefault="724D040F" w14:paraId="66D57A6A" w14:textId="34F951C5">
            <w:pPr>
              <w:bidi w:val="0"/>
              <w:spacing w:before="0" w:beforeAutospacing="off" w:after="0" w:afterAutospacing="off"/>
            </w:pPr>
            <w:r w:rsidR="724D040F">
              <w:rPr/>
              <w:t>100 k (polymer‑protected lab cell)</w:t>
            </w:r>
          </w:p>
        </w:tc>
        <w:tc>
          <w:tcPr>
            <w:tcW w:w="1887" w:type="dxa"/>
            <w:tcMar/>
            <w:vAlign w:val="center"/>
          </w:tcPr>
          <w:p w:rsidR="724D040F" w:rsidP="724D040F" w:rsidRDefault="724D040F" w14:paraId="4566BEF6" w14:textId="0E9962C2">
            <w:pPr>
              <w:bidi w:val="0"/>
              <w:spacing w:before="0" w:beforeAutospacing="off" w:after="0" w:afterAutospacing="off"/>
            </w:pPr>
            <w:r w:rsidR="724D040F">
              <w:rPr/>
              <w:t>10 k+</w:t>
            </w:r>
          </w:p>
        </w:tc>
      </w:tr>
      <w:tr w:rsidR="724D040F" w:rsidTr="724D040F" w14:paraId="4705DD65">
        <w:trPr>
          <w:trHeight w:val="300"/>
        </w:trPr>
        <w:tc>
          <w:tcPr>
            <w:tcW w:w="2326" w:type="dxa"/>
            <w:tcMar/>
            <w:vAlign w:val="center"/>
          </w:tcPr>
          <w:p w:rsidR="724D040F" w:rsidP="724D040F" w:rsidRDefault="724D040F" w14:paraId="0B03395E" w14:textId="070851CD">
            <w:pPr>
              <w:bidi w:val="0"/>
              <w:spacing w:before="0" w:beforeAutospacing="off" w:after="0" w:afterAutospacing="off"/>
            </w:pPr>
            <w:r w:rsidR="724D040F">
              <w:rPr/>
              <w:t>Silicon‑dominant Li‑ion</w:t>
            </w:r>
          </w:p>
        </w:tc>
        <w:tc>
          <w:tcPr>
            <w:tcW w:w="2714" w:type="dxa"/>
            <w:tcMar/>
            <w:vAlign w:val="center"/>
          </w:tcPr>
          <w:p w:rsidR="724D040F" w:rsidP="724D040F" w:rsidRDefault="724D040F" w14:paraId="6018EFF7" w14:textId="0A1267D7">
            <w:pPr>
              <w:bidi w:val="0"/>
              <w:spacing w:before="0" w:beforeAutospacing="off" w:after="0" w:afterAutospacing="off"/>
            </w:pPr>
            <w:r w:rsidR="724D040F">
              <w:rPr/>
              <w:t>1.5–3 k</w:t>
            </w:r>
          </w:p>
        </w:tc>
        <w:tc>
          <w:tcPr>
            <w:tcW w:w="3280" w:type="dxa"/>
            <w:tcMar/>
            <w:vAlign w:val="center"/>
          </w:tcPr>
          <w:p w:rsidR="724D040F" w:rsidP="724D040F" w:rsidRDefault="724D040F" w14:paraId="2E37AF9F" w14:textId="05E939C1">
            <w:pPr>
              <w:bidi w:val="0"/>
              <w:spacing w:before="0" w:beforeAutospacing="off" w:after="0" w:afterAutospacing="off"/>
            </w:pPr>
            <w:r w:rsidR="724D040F">
              <w:rPr/>
              <w:t>3 k+ (SCC55, porous Si)</w:t>
            </w:r>
          </w:p>
        </w:tc>
        <w:tc>
          <w:tcPr>
            <w:tcW w:w="1887" w:type="dxa"/>
            <w:tcMar/>
            <w:vAlign w:val="center"/>
          </w:tcPr>
          <w:p w:rsidR="724D040F" w:rsidP="724D040F" w:rsidRDefault="724D040F" w14:paraId="154FD217" w14:textId="117720CA">
            <w:pPr>
              <w:bidi w:val="0"/>
              <w:spacing w:before="0" w:beforeAutospacing="off" w:after="0" w:afterAutospacing="off"/>
            </w:pPr>
            <w:r w:rsidR="724D040F">
              <w:rPr/>
              <w:t>5–7 k</w:t>
            </w:r>
          </w:p>
        </w:tc>
      </w:tr>
      <w:tr w:rsidR="724D040F" w:rsidTr="724D040F" w14:paraId="49D3100A">
        <w:trPr>
          <w:trHeight w:val="300"/>
        </w:trPr>
        <w:tc>
          <w:tcPr>
            <w:tcW w:w="2326" w:type="dxa"/>
            <w:tcMar/>
            <w:vAlign w:val="center"/>
          </w:tcPr>
          <w:p w:rsidR="724D040F" w:rsidP="724D040F" w:rsidRDefault="724D040F" w14:paraId="13BDFE73" w14:textId="46AD5E78">
            <w:pPr>
              <w:bidi w:val="0"/>
              <w:spacing w:before="0" w:beforeAutospacing="off" w:after="0" w:afterAutospacing="off"/>
            </w:pPr>
            <w:r w:rsidR="724D040F">
              <w:rPr/>
              <w:t>Sodium‑ion</w:t>
            </w:r>
          </w:p>
        </w:tc>
        <w:tc>
          <w:tcPr>
            <w:tcW w:w="2714" w:type="dxa"/>
            <w:tcMar/>
            <w:vAlign w:val="center"/>
          </w:tcPr>
          <w:p w:rsidR="724D040F" w:rsidP="724D040F" w:rsidRDefault="724D040F" w14:paraId="01655FA6" w14:textId="04235858">
            <w:pPr>
              <w:bidi w:val="0"/>
              <w:spacing w:before="0" w:beforeAutospacing="off" w:after="0" w:afterAutospacing="off"/>
            </w:pPr>
            <w:r w:rsidR="724D040F">
              <w:rPr/>
              <w:t>1–3 k</w:t>
            </w:r>
          </w:p>
        </w:tc>
        <w:tc>
          <w:tcPr>
            <w:tcW w:w="3280" w:type="dxa"/>
            <w:tcMar/>
            <w:vAlign w:val="center"/>
          </w:tcPr>
          <w:p w:rsidR="724D040F" w:rsidP="724D040F" w:rsidRDefault="724D040F" w14:paraId="6E039B54" w14:textId="56248837">
            <w:pPr>
              <w:bidi w:val="0"/>
              <w:spacing w:before="0" w:beforeAutospacing="off" w:after="0" w:afterAutospacing="off"/>
            </w:pPr>
            <w:r w:rsidR="724D040F">
              <w:rPr/>
              <w:t>7 k (iron–sodium)</w:t>
            </w:r>
          </w:p>
        </w:tc>
        <w:tc>
          <w:tcPr>
            <w:tcW w:w="1887" w:type="dxa"/>
            <w:tcMar/>
            <w:vAlign w:val="center"/>
          </w:tcPr>
          <w:p w:rsidR="724D040F" w:rsidP="724D040F" w:rsidRDefault="724D040F" w14:paraId="63919CBD" w14:textId="7C177E55">
            <w:pPr>
              <w:bidi w:val="0"/>
              <w:spacing w:before="0" w:beforeAutospacing="off" w:after="0" w:afterAutospacing="off"/>
            </w:pPr>
            <w:r w:rsidR="724D040F">
              <w:rPr/>
              <w:t>8–10 k</w:t>
            </w:r>
          </w:p>
        </w:tc>
      </w:tr>
    </w:tbl>
    <w:p xmlns:wp14="http://schemas.microsoft.com/office/word/2010/wordml" w:rsidP="724D040F" wp14:paraId="043CF981" wp14:textId="635F4049">
      <w:pPr>
        <w:bidi w:val="0"/>
        <w:spacing w:before="240" w:beforeAutospacing="off" w:after="240" w:afterAutospacing="off"/>
      </w:pP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want, I can sketch a </w:t>
      </w:r>
      <w:r w:rsidRPr="724D040F" w:rsidR="3126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multi‑chemistry TFT test matrix</w:t>
      </w:r>
      <w:r w:rsidRPr="724D040F" w:rsidR="31265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same firmware core, different electrochemistries — so we can see how the triad scales across Zn, Si, and Na in a reproducible bench protocol. That could set the stage for the “something big” you’re hinting at next.</w:t>
      </w:r>
    </w:p>
    <w:p xmlns:wp14="http://schemas.microsoft.com/office/word/2010/wordml" wp14:paraId="2C078E63" wp14:textId="22FDCF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318d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eb8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f7b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85f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ec7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94b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78c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766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427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00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34c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9a7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da1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3CE9"/>
    <w:rsid w:val="312659BE"/>
    <w:rsid w:val="724D040F"/>
    <w:rsid w:val="7444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3CE9"/>
  <w15:chartTrackingRefBased/>
  <w15:docId w15:val="{3D941E4B-4C46-4ADA-9DC2-9709B8C92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24D040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24D040F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24D040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e0a3493f0b4f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2025-08-14T15:17:26.2762224Z</dcterms:created>
  <dcterms:modified xsi:type="dcterms:W3CDTF">2025-08-14T15:18:49.9386070Z</dcterms:modified>
  <dc:creator>Andrew Wilson</dc:creator>
  <lastModifiedBy>Andrew Wilson</lastModifiedBy>
</coreProperties>
</file>