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69BA68" wp14:paraId="71C57897" wp14:textId="446EE4BF">
      <w:pPr>
        <w:pStyle w:val="Heading1"/>
        <w:spacing w:before="322" w:beforeAutospacing="off" w:after="322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Triadic Framework Technology for BMS improvements</w:t>
      </w:r>
    </w:p>
    <w:p xmlns:wp14="http://schemas.microsoft.com/office/word/2010/wordml" w:rsidP="2A69BA68" wp14:paraId="0411D8B2" wp14:textId="4EB83F20">
      <w:pPr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You’re right—this deserves its own paper. Here’s a tight scaffold with the market picture, the TFT-to-BMS principles, and a clear before/after on effective Wh that we can defend and iterate.</w:t>
      </w:r>
    </w:p>
    <w:p xmlns:wp14="http://schemas.microsoft.com/office/word/2010/wordml" w:rsidP="2A69BA68" wp14:paraId="68F8FEE8" wp14:textId="410B84AE">
      <w:pPr>
        <w:pStyle w:val="Heading2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Purpose and scope</w:t>
      </w:r>
    </w:p>
    <w:p xmlns:wp14="http://schemas.microsoft.com/office/word/2010/wordml" w:rsidP="2A69BA68" wp14:paraId="0DC49917" wp14:textId="11DCC3C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Aim: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Establish Triadic Framework Technology (TFT) as a minimal, composable enhancement layer for battery management systems (BMS) that upgrades signal hygiene, controls, and coordination—yielding measurable gains in usable energy (Wh), round‑trip efficiency, and life.</w:t>
      </w:r>
    </w:p>
    <w:p xmlns:wp14="http://schemas.microsoft.com/office/word/2010/wordml" w:rsidP="2A69BA68" wp14:paraId="0208C64C" wp14:textId="55D00E9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Focus: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Main chemistries in market use; baseline market context; a defensible, chemistry‑specific “effective Wh” uplift model; and a reproducible BMS integration pattern.</w:t>
      </w:r>
    </w:p>
    <w:p xmlns:wp14="http://schemas.microsoft.com/office/word/2010/wordml" w:rsidP="2A69BA68" wp14:paraId="7EFC74DD" wp14:textId="68BD7B0F">
      <w:pPr>
        <w:pStyle w:val="Heading2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Market snapshot</w:t>
      </w:r>
    </w:p>
    <w:p xmlns:wp14="http://schemas.microsoft.com/office/word/2010/wordml" w:rsidP="2A69BA68" wp14:paraId="64545CC0" wp14:textId="42FE817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Global scale: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battery market was about USD 122B in 2023 and is projected to grow rapidly, with Asia‑Pacific holding roughly half the market and lithium‑ion as the leading chemistry2.</w:t>
      </w:r>
    </w:p>
    <w:p xmlns:wp14="http://schemas.microsoft.com/office/word/2010/wordml" w:rsidP="2A69BA68" wp14:paraId="4A00F942" wp14:textId="09C1FA2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Li‑ion dominance: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Lithium‑ion is the largest material segment (share &gt;44% in 2024), driven by EVs, consumer electronics, and stationary storage.</w:t>
      </w:r>
    </w:p>
    <w:p xmlns:wp14="http://schemas.microsoft.com/office/word/2010/wordml" w:rsidP="2A69BA68" wp14:paraId="12EB57B2" wp14:textId="72C442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Regional dynamics and players: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Asia‑based firms (CATL, BYD) lead globally; Korean makers (LG Energy Solution, SK On, Samsung SDI) are strong in the U.S., with localization policies shaping supply chains.</w:t>
      </w:r>
    </w:p>
    <w:p xmlns:wp14="http://schemas.microsoft.com/office/word/2010/wordml" w:rsidP="2A69BA68" wp14:paraId="0B162356" wp14:textId="69ED9EE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 pull‑through: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EV penetration continues to rise globally and in the U.S., sustaining demand for high‑energy‑density chemistries and advanced BMS features.</w:t>
      </w:r>
    </w:p>
    <w:p xmlns:wp14="http://schemas.microsoft.com/office/word/2010/wordml" w:rsidP="2A69BA68" wp14:paraId="0C4F90D2" wp14:textId="376D95A2">
      <w:pPr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Sources: 1</w:t>
      </w:r>
    </w:p>
    <w:p xmlns:wp14="http://schemas.microsoft.com/office/word/2010/wordml" w:rsidP="2A69BA68" wp14:paraId="0CE48D26" wp14:textId="78AC353F">
      <w:pPr>
        <w:pStyle w:val="Heading2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Battery types and baseline performance</w:t>
      </w:r>
    </w:p>
    <w:p xmlns:wp14="http://schemas.microsoft.com/office/word/2010/wordml" w:rsidP="2A69BA68" wp14:paraId="3A01CF98" wp14:textId="0CAC789B">
      <w:pPr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This quick reference uses typical, defendable ranges at the cell/pack level. Values are representative; exact designs vary by vendor and use case.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29"/>
        <w:gridCol w:w="1821"/>
        <w:gridCol w:w="1760"/>
        <w:gridCol w:w="1369"/>
        <w:gridCol w:w="2982"/>
      </w:tblGrid>
      <w:tr w:rsidR="2A69BA68" w:rsidTr="2A69BA68" w14:paraId="0E174C7F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4223B642" w14:textId="02E83033">
            <w:pPr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Type (chemistry)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6111B4A6" w14:textId="02470444">
            <w:pPr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Typical applications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450F9627" w14:textId="5F1B7A59">
            <w:pPr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Typical specific energy (Wh/kg)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4F76A1A5" w14:textId="44351A37">
            <w:pPr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Typical cycle life (cycles)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54AFF8C9" w14:textId="19106F9A">
            <w:pPr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Notes/constraints</w:t>
            </w:r>
          </w:p>
        </w:tc>
      </w:tr>
      <w:tr w:rsidR="2A69BA68" w:rsidTr="2A69BA68" w14:paraId="201F3D46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284C19FA" w14:textId="559D3B3F">
            <w:pPr>
              <w:spacing w:before="0" w:beforeAutospacing="off" w:after="0" w:afterAutospacing="off"/>
            </w:pPr>
            <w:r w:rsidR="2A69BA68">
              <w:rPr/>
              <w:t>Lead‑acid (flooded/VRLA)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7319AC1A" w14:textId="79291EEA">
            <w:pPr>
              <w:spacing w:before="0" w:beforeAutospacing="off" w:after="0" w:afterAutospacing="off"/>
            </w:pPr>
            <w:r w:rsidR="2A69BA68">
              <w:rPr/>
              <w:t>Starter, backup, forklifts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57DB0AB5" w14:textId="583BE941">
            <w:pPr>
              <w:spacing w:before="0" w:beforeAutospacing="off" w:after="0" w:afterAutospacing="off"/>
            </w:pPr>
            <w:r w:rsidR="2A69BA68">
              <w:rPr/>
              <w:t>30–50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5F330389" w14:textId="7093AEEF">
            <w:pPr>
              <w:spacing w:before="0" w:beforeAutospacing="off" w:after="0" w:afterAutospacing="off"/>
            </w:pPr>
            <w:r w:rsidR="2A69BA68">
              <w:rPr/>
              <w:t>300–1,000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1DF85B3F" w14:textId="5618E363">
            <w:pPr>
              <w:spacing w:before="0" w:beforeAutospacing="off" w:after="0" w:afterAutospacing="off"/>
            </w:pPr>
            <w:r w:rsidR="2A69BA68">
              <w:rPr/>
              <w:t>Low cost, low energy density, shallow DoD for life</w:t>
            </w:r>
          </w:p>
        </w:tc>
      </w:tr>
      <w:tr w:rsidR="2A69BA68" w:rsidTr="2A69BA68" w14:paraId="490F8FCE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354D031F" w14:textId="2350B673">
            <w:pPr>
              <w:spacing w:before="0" w:beforeAutospacing="off" w:after="0" w:afterAutospacing="off"/>
            </w:pPr>
            <w:r w:rsidR="2A69BA68">
              <w:rPr/>
              <w:t>NiMH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394E26E7" w14:textId="7ACFF2E7">
            <w:pPr>
              <w:spacing w:before="0" w:beforeAutospacing="off" w:after="0" w:afterAutospacing="off"/>
            </w:pPr>
            <w:r w:rsidR="2A69BA68">
              <w:rPr/>
              <w:t>HEVs, tools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5EB4D6BA" w14:textId="5201E522">
            <w:pPr>
              <w:spacing w:before="0" w:beforeAutospacing="off" w:after="0" w:afterAutospacing="off"/>
            </w:pPr>
            <w:r w:rsidR="2A69BA68">
              <w:rPr/>
              <w:t>60–120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63A083D0" w14:textId="709E07DF">
            <w:pPr>
              <w:spacing w:before="0" w:beforeAutospacing="off" w:after="0" w:afterAutospacing="off"/>
            </w:pPr>
            <w:r w:rsidR="2A69BA68">
              <w:rPr/>
              <w:t>1,000–2,000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48141E07" w14:textId="42C928CD">
            <w:pPr>
              <w:spacing w:before="0" w:beforeAutospacing="off" w:after="0" w:afterAutospacing="off"/>
            </w:pPr>
            <w:r w:rsidR="2A69BA68">
              <w:rPr/>
              <w:t>Robust, moderate density, higher self‑discharge</w:t>
            </w:r>
          </w:p>
        </w:tc>
      </w:tr>
      <w:tr w:rsidR="2A69BA68" w:rsidTr="2A69BA68" w14:paraId="36D9B2C0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4B9673DE" w14:textId="5175F853">
            <w:pPr>
              <w:spacing w:before="0" w:beforeAutospacing="off" w:after="0" w:afterAutospacing="off"/>
            </w:pPr>
            <w:r w:rsidR="2A69BA68">
              <w:rPr/>
              <w:t>Li‑ion LFP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17FFC165" w14:textId="0BB8EB31">
            <w:pPr>
              <w:spacing w:before="0" w:beforeAutospacing="off" w:after="0" w:afterAutospacing="off"/>
            </w:pPr>
            <w:r w:rsidR="2A69BA68">
              <w:rPr/>
              <w:t>EVs, ESS, buses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3FB48288" w14:textId="5777779D">
            <w:pPr>
              <w:spacing w:before="0" w:beforeAutospacing="off" w:after="0" w:afterAutospacing="off"/>
            </w:pPr>
            <w:r w:rsidR="2A69BA68">
              <w:rPr/>
              <w:t>120–180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1695309A" w14:textId="51C522BA">
            <w:pPr>
              <w:spacing w:before="0" w:beforeAutospacing="off" w:after="0" w:afterAutospacing="off"/>
            </w:pPr>
            <w:r w:rsidR="2A69BA68">
              <w:rPr/>
              <w:t>2,000–6,000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5D662479" w14:textId="5D2C0443">
            <w:pPr>
              <w:spacing w:before="0" w:beforeAutospacing="off" w:after="0" w:afterAutospacing="off"/>
            </w:pPr>
            <w:r w:rsidR="2A69BA68">
              <w:rPr/>
              <w:t>Long life, good safety, lower cold performance</w:t>
            </w:r>
          </w:p>
        </w:tc>
      </w:tr>
      <w:tr w:rsidR="2A69BA68" w:rsidTr="2A69BA68" w14:paraId="5105CC5E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0A1F5651" w14:textId="47533040">
            <w:pPr>
              <w:spacing w:before="0" w:beforeAutospacing="off" w:after="0" w:afterAutospacing="off"/>
            </w:pPr>
            <w:r w:rsidR="2A69BA68">
              <w:rPr/>
              <w:t>Li‑ion NMC/NCA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45B6973A" w14:textId="1CF1A23E">
            <w:pPr>
              <w:spacing w:before="0" w:beforeAutospacing="off" w:after="0" w:afterAutospacing="off"/>
            </w:pPr>
            <w:r w:rsidR="2A69BA68">
              <w:rPr/>
              <w:t>EVs, electronics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16DB4607" w14:textId="475BDA94">
            <w:pPr>
              <w:spacing w:before="0" w:beforeAutospacing="off" w:after="0" w:afterAutospacing="off"/>
            </w:pPr>
            <w:r w:rsidR="2A69BA68">
              <w:rPr/>
              <w:t>180–260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7A32F1AB" w14:textId="0DBDFED2">
            <w:pPr>
              <w:spacing w:before="0" w:beforeAutospacing="off" w:after="0" w:afterAutospacing="off"/>
            </w:pPr>
            <w:r w:rsidR="2A69BA68">
              <w:rPr/>
              <w:t>1,000–2,500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4A0465D2" w14:textId="38066D91">
            <w:pPr>
              <w:spacing w:before="0" w:beforeAutospacing="off" w:after="0" w:afterAutospacing="off"/>
            </w:pPr>
            <w:r w:rsidR="2A69BA68">
              <w:rPr/>
              <w:t>High energy density, tighter safety margins</w:t>
            </w:r>
          </w:p>
        </w:tc>
      </w:tr>
      <w:tr w:rsidR="2A69BA68" w:rsidTr="2A69BA68" w14:paraId="164268E4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4142DD95" w14:textId="70462F84">
            <w:pPr>
              <w:spacing w:before="0" w:beforeAutospacing="off" w:after="0" w:afterAutospacing="off"/>
            </w:pPr>
            <w:r w:rsidR="2A69BA68">
              <w:rPr/>
              <w:t>Sodium‑ion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75BD0620" w14:textId="753C54F8">
            <w:pPr>
              <w:spacing w:before="0" w:beforeAutospacing="off" w:after="0" w:afterAutospacing="off"/>
            </w:pPr>
            <w:r w:rsidR="2A69BA68">
              <w:rPr/>
              <w:t>ESS, low‑cost mobility (emerging)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605F04F4" w14:textId="34A39B93">
            <w:pPr>
              <w:spacing w:before="0" w:beforeAutospacing="off" w:after="0" w:afterAutospacing="off"/>
            </w:pPr>
            <w:r w:rsidR="2A69BA68">
              <w:rPr/>
              <w:t>90–160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1328CF4F" w14:textId="0FCC128F">
            <w:pPr>
              <w:spacing w:before="0" w:beforeAutospacing="off" w:after="0" w:afterAutospacing="off"/>
            </w:pPr>
            <w:r w:rsidR="2A69BA68">
              <w:rPr/>
              <w:t>1,000–3,000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470397B7" w14:textId="407AA823">
            <w:pPr>
              <w:spacing w:before="0" w:beforeAutospacing="off" w:after="0" w:afterAutospacing="off"/>
            </w:pPr>
            <w:r w:rsidR="2A69BA68">
              <w:rPr/>
              <w:t>Lower cost materials, improving density</w:t>
            </w:r>
          </w:p>
        </w:tc>
      </w:tr>
      <w:tr w:rsidR="2A69BA68" w:rsidTr="2A69BA68" w14:paraId="44F98707">
        <w:trPr>
          <w:trHeight w:val="300"/>
        </w:trPr>
        <w:tc>
          <w:tcPr>
            <w:tcW w:w="1429" w:type="dxa"/>
            <w:tcMar/>
            <w:vAlign w:val="center"/>
          </w:tcPr>
          <w:p w:rsidR="2A69BA68" w:rsidP="2A69BA68" w:rsidRDefault="2A69BA68" w14:paraId="6AC2C975" w14:textId="71318550">
            <w:pPr>
              <w:spacing w:before="0" w:beforeAutospacing="off" w:after="0" w:afterAutospacing="off"/>
            </w:pPr>
            <w:r w:rsidR="2A69BA68">
              <w:rPr/>
              <w:t>Flow batteries</w:t>
            </w:r>
          </w:p>
        </w:tc>
        <w:tc>
          <w:tcPr>
            <w:tcW w:w="1821" w:type="dxa"/>
            <w:tcMar/>
            <w:vAlign w:val="center"/>
          </w:tcPr>
          <w:p w:rsidR="2A69BA68" w:rsidP="2A69BA68" w:rsidRDefault="2A69BA68" w14:paraId="69FBF965" w14:textId="4CC94806">
            <w:pPr>
              <w:spacing w:before="0" w:beforeAutospacing="off" w:after="0" w:afterAutospacing="off"/>
            </w:pPr>
            <w:r w:rsidR="2A69BA68">
              <w:rPr/>
              <w:t>Stationary long‑duration</w:t>
            </w:r>
          </w:p>
        </w:tc>
        <w:tc>
          <w:tcPr>
            <w:tcW w:w="1760" w:type="dxa"/>
            <w:tcMar/>
            <w:vAlign w:val="center"/>
          </w:tcPr>
          <w:p w:rsidR="2A69BA68" w:rsidP="2A69BA68" w:rsidRDefault="2A69BA68" w14:paraId="0FD74D3A" w14:textId="64B5A19B">
            <w:pPr>
              <w:spacing w:before="0" w:beforeAutospacing="off" w:after="0" w:afterAutospacing="off"/>
            </w:pPr>
            <w:r w:rsidR="2A69BA68">
              <w:rPr/>
              <w:t>10–50 (system)</w:t>
            </w:r>
          </w:p>
        </w:tc>
        <w:tc>
          <w:tcPr>
            <w:tcW w:w="1369" w:type="dxa"/>
            <w:tcMar/>
            <w:vAlign w:val="center"/>
          </w:tcPr>
          <w:p w:rsidR="2A69BA68" w:rsidP="2A69BA68" w:rsidRDefault="2A69BA68" w14:paraId="47ECF41D" w14:textId="1982B35A">
            <w:pPr>
              <w:spacing w:before="0" w:beforeAutospacing="off" w:after="0" w:afterAutospacing="off"/>
            </w:pPr>
            <w:r w:rsidR="2A69BA68">
              <w:rPr/>
              <w:t>10,000+</w:t>
            </w:r>
          </w:p>
        </w:tc>
        <w:tc>
          <w:tcPr>
            <w:tcW w:w="2982" w:type="dxa"/>
            <w:tcMar/>
            <w:vAlign w:val="center"/>
          </w:tcPr>
          <w:p w:rsidR="2A69BA68" w:rsidP="2A69BA68" w:rsidRDefault="2A69BA68" w14:paraId="7A454028" w14:textId="13553FF7">
            <w:pPr>
              <w:spacing w:before="0" w:beforeAutospacing="off" w:after="0" w:afterAutospacing="off"/>
            </w:pPr>
            <w:r w:rsidR="2A69BA68">
              <w:rPr/>
              <w:t>Power/energy decoupled, lower RTE, excellent longevity</w:t>
            </w:r>
          </w:p>
        </w:tc>
      </w:tr>
    </w:tbl>
    <w:p xmlns:wp14="http://schemas.microsoft.com/office/word/2010/wordml" w:rsidP="2A69BA68" wp14:paraId="20400DB7" wp14:textId="46BF40BF">
      <w:pPr>
        <w:pStyle w:val="Heading2"/>
        <w:bidi w:val="0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TFT principles applied to BMS</w:t>
      </w:r>
    </w:p>
    <w:p xmlns:wp14="http://schemas.microsoft.com/office/word/2010/wordml" w:rsidP="2A69BA68" wp14:paraId="16441D24" wp14:textId="33D69464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TFT slots in as a very small control/signal layer that reinforces three pillars—Signal, Structure, Scheduling—inside the BMS loop.</w:t>
      </w:r>
    </w:p>
    <w:p xmlns:wp14="http://schemas.microsoft.com/office/word/2010/wordml" w:rsidP="2A69BA68" wp14:paraId="0501CB91" wp14:textId="7DB0CEA5">
      <w:pPr>
        <w:pStyle w:val="Heading4"/>
        <w:bidi w:val="0"/>
        <w:spacing w:before="319" w:beforeAutospacing="off" w:after="31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Signal (clean, synchronized, observable)</w:t>
      </w:r>
    </w:p>
    <w:p xmlns:wp14="http://schemas.microsoft.com/office/word/2010/wordml" w:rsidP="2A69BA68" wp14:paraId="562A8387" wp14:textId="5DCC44F8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Noise‑aware sensing: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Synchronized sampling and digital filtering to reduce measurement jitter; improves SOC/SOH estimation fidelity and reduces conservative buffers.</w:t>
      </w:r>
    </w:p>
    <w:p xmlns:wp14="http://schemas.microsoft.com/office/word/2010/wordml" w:rsidP="2A69BA68" wp14:paraId="56606BB6" wp14:textId="2AA71986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Harmonics‑aware actuation: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Coordinated switching to cut ripple/THD, trimming conversion losses and heat (supports higher RTE and stability).</w:t>
      </w:r>
    </w:p>
    <w:p xmlns:wp14="http://schemas.microsoft.com/office/word/2010/wordml" w:rsidP="2A69BA68" wp14:paraId="7B71CA86" wp14:textId="7885CD53">
      <w:pPr>
        <w:pStyle w:val="ListParagraph"/>
        <w:numPr>
          <w:ilvl w:val="0"/>
          <w:numId w:val="3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Secure, low‑latency telemetry: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Deterministic frames over CAN/SMBus; optional wireless BMS with robust crypto where architecture permits.</w:t>
      </w:r>
    </w:p>
    <w:p xmlns:wp14="http://schemas.microsoft.com/office/word/2010/wordml" w:rsidP="2A69BA68" wp14:paraId="3E5725B6" wp14:textId="0A361309">
      <w:pPr>
        <w:pStyle w:val="Heading4"/>
        <w:bidi w:val="0"/>
        <w:spacing w:before="319" w:beforeAutospacing="off" w:after="31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Structure (cell‑to‑pack coherence)</w:t>
      </w:r>
    </w:p>
    <w:p xmlns:wp14="http://schemas.microsoft.com/office/word/2010/wordml" w:rsidP="2A69BA68" wp14:paraId="461577B1" wp14:textId="7430E96C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Adaptive balancing: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Prefer active or hybrid balancing under dynamic thresholds (temp, impedance), cutting delta‑V and recovering usable capacity without thermal penalty5.</w:t>
      </w:r>
    </w:p>
    <w:p xmlns:wp14="http://schemas.microsoft.com/office/word/2010/wordml" w:rsidP="2A69BA68" wp14:paraId="38F44ED1" wp14:textId="25E11B9D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Health‑aware limits: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Narrower, individualized charge/discharge windows as confidence grows in per‑cell state models (less blanket derating).</w:t>
      </w:r>
    </w:p>
    <w:p xmlns:wp14="http://schemas.microsoft.com/office/word/2010/wordml" w:rsidP="2A69BA68" wp14:paraId="7685888B" wp14:textId="4AAD0C69">
      <w:pPr>
        <w:pStyle w:val="ListParagraph"/>
        <w:numPr>
          <w:ilvl w:val="0"/>
          <w:numId w:val="4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Protection precision: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Faster, more selective trips using better sensing and hysteresis design to avoid unnecessary energy cut‑outs5.</w:t>
      </w:r>
    </w:p>
    <w:p xmlns:wp14="http://schemas.microsoft.com/office/word/2010/wordml" w:rsidP="2A69BA68" wp14:paraId="3AAC948C" wp14:textId="37EA0D4F">
      <w:pPr>
        <w:pStyle w:val="Heading4"/>
        <w:bidi w:val="0"/>
        <w:spacing w:before="319" w:beforeAutospacing="off" w:after="31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Scheduling (context‑aware timing)</w:t>
      </w:r>
    </w:p>
    <w:p xmlns:wp14="http://schemas.microsoft.com/office/word/2010/wordml" w:rsidP="2A69BA68" wp14:paraId="7ED1E5C4" wp14:textId="237953D1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Load/charge orchestration: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Align high‑current events with thermal headroom; schedule balance during low‑stress windows to minimize aging.</w:t>
      </w:r>
    </w:p>
    <w:p xmlns:wp14="http://schemas.microsoft.com/office/word/2010/wordml" w:rsidP="2A69BA68" wp14:paraId="10AA34C1" wp14:textId="44FF71E6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control: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Short‑horizon forecasts (temp, load) to pre‑empt excursions and reduce safety buffers; supports gentler, more efficient CC‑CV transitions.</w:t>
      </w:r>
    </w:p>
    <w:p xmlns:wp14="http://schemas.microsoft.com/office/word/2010/wordml" w:rsidP="2A69BA68" wp14:paraId="6EFA638B" wp14:textId="6A5C869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Fleet coordination: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ESS, staggered charge/power set‑points to minimize aggregate losses and pump overhead (flow/thermal systems).</w:t>
      </w:r>
    </w:p>
    <w:p xmlns:wp14="http://schemas.microsoft.com/office/word/2010/wordml" w:rsidP="2A69BA68" wp14:paraId="1E485D1B" wp14:textId="3361EE8A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BMS core functions—cell monitoring, protection, balancing (passive/active), SOC/SOH estimation, and comms—are the substrate TFT enhances5. Wireless BMS architectures are emerging in EV platforms and benefit from TFT’s telemetry discipline.</w:t>
      </w:r>
    </w:p>
    <w:p xmlns:wp14="http://schemas.microsoft.com/office/word/2010/wordml" w:rsidP="2A69BA68" wp14:paraId="797E52C4" wp14:textId="6714C000">
      <w:pPr>
        <w:pStyle w:val="Heading2"/>
        <w:bidi w:val="0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TFT‑enabled effective Wh comparison</w:t>
      </w:r>
    </w:p>
    <w:p xmlns:wp14="http://schemas.microsoft.com/office/word/2010/wordml" w:rsidP="2A69BA68" wp14:paraId="517D598D" wp14:textId="4C34CB1F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We model “effective Wh” as: Effective_Wh = Nameplate_Wh × Usable_SOC_window × Round‑trip_efficiency</w:t>
      </w:r>
    </w:p>
    <w:p xmlns:wp14="http://schemas.microsoft.com/office/word/2010/wordml" w:rsidP="2A69BA68" wp14:paraId="2D231096" wp14:textId="67655F67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Below are illustrative, conservative uplifts for a 60 kWh pack, assuming TFT enables tighter estimation, cleaner actuation, and smarter scheduling. Baselines reflect common practice; deltas reflect what a minimal, well‑implemented TFT layer can plausibly unlock without hardware changes.</w:t>
      </w:r>
    </w:p>
    <w:p xmlns:wp14="http://schemas.microsoft.com/office/word/2010/wordml" w:rsidP="2A69BA68" wp14:paraId="077BE728" wp14:textId="2956081C">
      <w:pPr>
        <w:pStyle w:val="Heading5"/>
        <w:bidi w:val="0"/>
        <w:spacing w:before="333" w:beforeAutospacing="off" w:after="333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Assumption deltas by chemistry</w:t>
      </w:r>
    </w:p>
    <w:p xmlns:wp14="http://schemas.microsoft.com/office/word/2010/wordml" w:rsidP="2A69BA68" wp14:paraId="053CC17C" wp14:textId="458A9FDA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Lead‑acid: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+5 percentage points usable window, +2 points RTE (better charge staging, temperature‑aware control).</w:t>
      </w:r>
    </w:p>
    <w:p xmlns:wp14="http://schemas.microsoft.com/office/word/2010/wordml" w:rsidP="2A69BA68" wp14:paraId="3EFA869D" wp14:textId="65551411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NiMH: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+3 pp usable, +1 pp RTE (more accurate SOC at high C‑rates).</w:t>
      </w:r>
    </w:p>
    <w:p xmlns:wp14="http://schemas.microsoft.com/office/word/2010/wordml" w:rsidP="2A69BA68" wp14:paraId="6109C973" wp14:textId="649E20DD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Li‑ion LFP: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+4 pp usable, +2 pp RTE (active balancing + synchronized switching).</w:t>
      </w:r>
    </w:p>
    <w:p xmlns:wp14="http://schemas.microsoft.com/office/word/2010/wordml" w:rsidP="2A69BA68" wp14:paraId="0729A33F" wp14:textId="01C0A87B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Li‑ion NMC/NCA: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+3 pp usable, +1.5 pp RTE (tighter safety margins with high‑fidelity sensing).</w:t>
      </w:r>
    </w:p>
    <w:p xmlns:wp14="http://schemas.microsoft.com/office/word/2010/wordml" w:rsidP="2A69BA68" wp14:paraId="734962DB" wp14:textId="01D866E9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Sodium‑ion: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+4 pp usable, +2 pp RTE (similar to LFP behavior).</w:t>
      </w:r>
    </w:p>
    <w:p xmlns:wp14="http://schemas.microsoft.com/office/word/2010/wordml" w:rsidP="2A69BA68" wp14:paraId="48686186" wp14:textId="61A12FA7">
      <w:pPr>
        <w:pStyle w:val="ListParagraph"/>
        <w:numPr>
          <w:ilvl w:val="0"/>
          <w:numId w:val="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Flow battery: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+0 pp usable, +2 pp RTE (pumps/valves optimization, harmonics).</w:t>
      </w:r>
    </w:p>
    <w:p xmlns:wp14="http://schemas.microsoft.com/office/word/2010/wordml" w:rsidP="2A69BA68" wp14:paraId="75ECF06E" wp14:textId="584FBB4D">
      <w:pPr>
        <w:pStyle w:val="Heading5"/>
        <w:bidi w:val="0"/>
        <w:spacing w:before="333" w:beforeAutospacing="off" w:after="333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Results (per 60 kWh nameplate)</w:t>
      </w:r>
    </w:p>
    <w:tbl>
      <w:tblPr>
        <w:tblStyle w:val="Table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780"/>
        <w:gridCol w:w="2922"/>
        <w:gridCol w:w="2531"/>
        <w:gridCol w:w="1060"/>
      </w:tblGrid>
      <w:tr w:rsidR="2A69BA68" w:rsidTr="2A69BA68" w14:paraId="41597298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68F3A3B5" w14:textId="59C0ECEC">
            <w:pPr>
              <w:bidi w:val="0"/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Chemistry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4710A0CE" w14:textId="196DADC9">
            <w:pPr>
              <w:bidi w:val="0"/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Baseline effective Wh (kWh)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6CA67B8C" w14:textId="75FC62DD">
            <w:pPr>
              <w:bidi w:val="0"/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TFT effective Wh (kWh)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5F100E30" w14:textId="30D184F1">
            <w:pPr>
              <w:bidi w:val="0"/>
              <w:spacing w:before="0" w:beforeAutospacing="off" w:after="0" w:afterAutospacing="off"/>
              <w:jc w:val="center"/>
            </w:pPr>
            <w:r w:rsidRPr="2A69BA68" w:rsidR="2A69BA68">
              <w:rPr>
                <w:b w:val="1"/>
                <w:bCs w:val="1"/>
              </w:rPr>
              <w:t>Uplift (%)</w:t>
            </w:r>
          </w:p>
        </w:tc>
      </w:tr>
      <w:tr w:rsidR="2A69BA68" w:rsidTr="2A69BA68" w14:paraId="3CFFB191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4AF623EB" w14:textId="0E6AC9EE">
            <w:pPr>
              <w:bidi w:val="0"/>
              <w:spacing w:before="0" w:beforeAutospacing="off" w:after="0" w:afterAutospacing="off"/>
            </w:pPr>
            <w:r w:rsidR="2A69BA68">
              <w:rPr/>
              <w:t>Lead‑acid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21554D50" w14:textId="4F04A3E4">
            <w:pPr>
              <w:bidi w:val="0"/>
              <w:spacing w:before="0" w:beforeAutospacing="off" w:after="0" w:afterAutospacing="off"/>
            </w:pPr>
            <w:r w:rsidR="2A69BA68">
              <w:rPr/>
              <w:t>25.50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440A6B8D" w14:textId="40933AE8">
            <w:pPr>
              <w:bidi w:val="0"/>
              <w:spacing w:before="0" w:beforeAutospacing="off" w:after="0" w:afterAutospacing="off"/>
            </w:pPr>
            <w:r w:rsidR="2A69BA68">
              <w:rPr/>
              <w:t>28.71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2F1BD80D" w14:textId="47B15704">
            <w:pPr>
              <w:bidi w:val="0"/>
              <w:spacing w:before="0" w:beforeAutospacing="off" w:after="0" w:afterAutospacing="off"/>
            </w:pPr>
            <w:r w:rsidR="2A69BA68">
              <w:rPr/>
              <w:t>12.6</w:t>
            </w:r>
          </w:p>
        </w:tc>
      </w:tr>
      <w:tr w:rsidR="2A69BA68" w:rsidTr="2A69BA68" w14:paraId="2DBB9A81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3F89AE0D" w14:textId="0D5BC391">
            <w:pPr>
              <w:bidi w:val="0"/>
              <w:spacing w:before="0" w:beforeAutospacing="off" w:after="0" w:afterAutospacing="off"/>
            </w:pPr>
            <w:r w:rsidR="2A69BA68">
              <w:rPr/>
              <w:t>NiMH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252F39A6" w14:textId="70B0AC56">
            <w:pPr>
              <w:bidi w:val="0"/>
              <w:spacing w:before="0" w:beforeAutospacing="off" w:after="0" w:afterAutospacing="off"/>
            </w:pPr>
            <w:r w:rsidR="2A69BA68">
              <w:rPr/>
              <w:t>43.20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0A94D2A4" w14:textId="0D721232">
            <w:pPr>
              <w:bidi w:val="0"/>
              <w:spacing w:before="0" w:beforeAutospacing="off" w:after="0" w:afterAutospacing="off"/>
            </w:pPr>
            <w:r w:rsidR="2A69BA68">
              <w:rPr/>
              <w:t>45.26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6D8299CB" w14:textId="5E58924F">
            <w:pPr>
              <w:bidi w:val="0"/>
              <w:spacing w:before="0" w:beforeAutospacing="off" w:after="0" w:afterAutospacing="off"/>
            </w:pPr>
            <w:r w:rsidR="2A69BA68">
              <w:rPr/>
              <w:t>4.8</w:t>
            </w:r>
          </w:p>
        </w:tc>
      </w:tr>
      <w:tr w:rsidR="2A69BA68" w:rsidTr="2A69BA68" w14:paraId="058E712A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7B279472" w14:textId="416A897A">
            <w:pPr>
              <w:bidi w:val="0"/>
              <w:spacing w:before="0" w:beforeAutospacing="off" w:after="0" w:afterAutospacing="off"/>
            </w:pPr>
            <w:r w:rsidR="2A69BA68">
              <w:rPr/>
              <w:t>Li‑ion LFP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7F5BD55B" w14:textId="55E6E157">
            <w:pPr>
              <w:bidi w:val="0"/>
              <w:spacing w:before="0" w:beforeAutospacing="off" w:after="0" w:afterAutospacing="off"/>
            </w:pPr>
            <w:r w:rsidR="2A69BA68">
              <w:rPr/>
              <w:t>50.76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7D9A8B43" w14:textId="1CB062A6">
            <w:pPr>
              <w:bidi w:val="0"/>
              <w:spacing w:before="0" w:beforeAutospacing="off" w:after="0" w:afterAutospacing="off"/>
            </w:pPr>
            <w:r w:rsidR="2A69BA68">
              <w:rPr/>
              <w:t>54.05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0712780B" w14:textId="0F0706F5">
            <w:pPr>
              <w:bidi w:val="0"/>
              <w:spacing w:before="0" w:beforeAutospacing="off" w:after="0" w:afterAutospacing="off"/>
            </w:pPr>
            <w:r w:rsidR="2A69BA68">
              <w:rPr/>
              <w:t>6.5</w:t>
            </w:r>
          </w:p>
        </w:tc>
      </w:tr>
      <w:tr w:rsidR="2A69BA68" w:rsidTr="2A69BA68" w14:paraId="7288BCB5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6DEE757F" w14:textId="73F9BD36">
            <w:pPr>
              <w:bidi w:val="0"/>
              <w:spacing w:before="0" w:beforeAutospacing="off" w:after="0" w:afterAutospacing="off"/>
            </w:pPr>
            <w:r w:rsidR="2A69BA68">
              <w:rPr/>
              <w:t>Li‑ion NMC/NCA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4EA432AC" w14:textId="7AF676B8">
            <w:pPr>
              <w:bidi w:val="0"/>
              <w:spacing w:before="0" w:beforeAutospacing="off" w:after="0" w:afterAutospacing="off"/>
            </w:pPr>
            <w:r w:rsidR="2A69BA68">
              <w:rPr/>
              <w:t>52.44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44D550A1" w14:textId="6937CEF1">
            <w:pPr>
              <w:bidi w:val="0"/>
              <w:spacing w:before="0" w:beforeAutospacing="off" w:after="0" w:afterAutospacing="off"/>
            </w:pPr>
            <w:r w:rsidR="2A69BA68">
              <w:rPr/>
              <w:t>55.01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74D11B1D" w14:textId="1ECD189C">
            <w:pPr>
              <w:bidi w:val="0"/>
              <w:spacing w:before="0" w:beforeAutospacing="off" w:after="0" w:afterAutospacing="off"/>
            </w:pPr>
            <w:r w:rsidR="2A69BA68">
              <w:rPr/>
              <w:t>4.9</w:t>
            </w:r>
          </w:p>
        </w:tc>
      </w:tr>
      <w:tr w:rsidR="2A69BA68" w:rsidTr="2A69BA68" w14:paraId="10D8D0D0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636D9D1F" w14:textId="73FC7AD4">
            <w:pPr>
              <w:bidi w:val="0"/>
              <w:spacing w:before="0" w:beforeAutospacing="off" w:after="0" w:afterAutospacing="off"/>
            </w:pPr>
            <w:r w:rsidR="2A69BA68">
              <w:rPr/>
              <w:t>Sodium‑ion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1B59C27B" w14:textId="64555F24">
            <w:pPr>
              <w:bidi w:val="0"/>
              <w:spacing w:before="0" w:beforeAutospacing="off" w:after="0" w:afterAutospacing="off"/>
            </w:pPr>
            <w:r w:rsidR="2A69BA68">
              <w:rPr/>
              <w:t>50.22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2230AF43" w14:textId="55673113">
            <w:pPr>
              <w:bidi w:val="0"/>
              <w:spacing w:before="0" w:beforeAutospacing="off" w:after="0" w:afterAutospacing="off"/>
            </w:pPr>
            <w:r w:rsidR="2A69BA68">
              <w:rPr/>
              <w:t>53.58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39CBA944" w14:textId="52BECAB3">
            <w:pPr>
              <w:bidi w:val="0"/>
              <w:spacing w:before="0" w:beforeAutospacing="off" w:after="0" w:afterAutospacing="off"/>
            </w:pPr>
            <w:r w:rsidR="2A69BA68">
              <w:rPr/>
              <w:t>6.7</w:t>
            </w:r>
          </w:p>
        </w:tc>
      </w:tr>
      <w:tr w:rsidR="2A69BA68" w:rsidTr="2A69BA68" w14:paraId="7B595732">
        <w:trPr>
          <w:trHeight w:val="300"/>
        </w:trPr>
        <w:tc>
          <w:tcPr>
            <w:tcW w:w="1780" w:type="dxa"/>
            <w:tcMar/>
            <w:vAlign w:val="center"/>
          </w:tcPr>
          <w:p w:rsidR="2A69BA68" w:rsidP="2A69BA68" w:rsidRDefault="2A69BA68" w14:paraId="334DD99A" w14:textId="15FCAF82">
            <w:pPr>
              <w:bidi w:val="0"/>
              <w:spacing w:before="0" w:beforeAutospacing="off" w:after="0" w:afterAutospacing="off"/>
            </w:pPr>
            <w:r w:rsidR="2A69BA68">
              <w:rPr/>
              <w:t>Flow battery</w:t>
            </w:r>
          </w:p>
        </w:tc>
        <w:tc>
          <w:tcPr>
            <w:tcW w:w="2922" w:type="dxa"/>
            <w:tcMar/>
            <w:vAlign w:val="center"/>
          </w:tcPr>
          <w:p w:rsidR="2A69BA68" w:rsidP="2A69BA68" w:rsidRDefault="2A69BA68" w14:paraId="2A0DF340" w14:textId="5BE7CED0">
            <w:pPr>
              <w:bidi w:val="0"/>
              <w:spacing w:before="0" w:beforeAutospacing="off" w:after="0" w:afterAutospacing="off"/>
            </w:pPr>
            <w:r w:rsidR="2A69BA68">
              <w:rPr/>
              <w:t>45.00</w:t>
            </w:r>
          </w:p>
        </w:tc>
        <w:tc>
          <w:tcPr>
            <w:tcW w:w="2531" w:type="dxa"/>
            <w:tcMar/>
            <w:vAlign w:val="center"/>
          </w:tcPr>
          <w:p w:rsidR="2A69BA68" w:rsidP="2A69BA68" w:rsidRDefault="2A69BA68" w14:paraId="1B0D93F7" w14:textId="30469E46">
            <w:pPr>
              <w:bidi w:val="0"/>
              <w:spacing w:before="0" w:beforeAutospacing="off" w:after="0" w:afterAutospacing="off"/>
            </w:pPr>
            <w:r w:rsidR="2A69BA68">
              <w:rPr/>
              <w:t>46.20</w:t>
            </w:r>
          </w:p>
        </w:tc>
        <w:tc>
          <w:tcPr>
            <w:tcW w:w="1060" w:type="dxa"/>
            <w:tcMar/>
            <w:vAlign w:val="center"/>
          </w:tcPr>
          <w:p w:rsidR="2A69BA68" w:rsidP="2A69BA68" w:rsidRDefault="2A69BA68" w14:paraId="4E8D1D15" w14:textId="5436AB09">
            <w:pPr>
              <w:bidi w:val="0"/>
              <w:spacing w:before="0" w:beforeAutospacing="off" w:after="0" w:afterAutospacing="off"/>
            </w:pPr>
            <w:r w:rsidR="2A69BA68">
              <w:rPr/>
              <w:t>2.7</w:t>
            </w:r>
          </w:p>
        </w:tc>
      </w:tr>
    </w:tbl>
    <w:p xmlns:wp14="http://schemas.microsoft.com/office/word/2010/wordml" w:rsidP="2A69BA68" wp14:paraId="1BE1EAF6" wp14:textId="4800C591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Assumptions used: Lead‑acid baseline usable 50%, RTE 0.85; NiMH 80%, 0.90; LFP 90%, 0.94; NMC/NCA 92%, 0.95; Sodium‑ion 90%, 0.93; Flow 100%, 0.75. Adjust per target product and duty cycle.</w:t>
      </w:r>
    </w:p>
    <w:p xmlns:wp14="http://schemas.microsoft.com/office/word/2010/wordml" w:rsidP="2A69BA68" wp14:paraId="001AA424" wp14:textId="0F58CF6F">
      <w:pPr>
        <w:pStyle w:val="Heading2"/>
        <w:bidi w:val="0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Paper structure and what we’ll claim</w:t>
      </w:r>
    </w:p>
    <w:p xmlns:wp14="http://schemas.microsoft.com/office/word/2010/wordml" w:rsidP="2A69BA68" wp14:paraId="66526547" wp14:textId="0DF3EE4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 Introduction: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Why triadic control in BMS matters now (market growth, Li‑ion dominance, regional dynamics)1.</w:t>
      </w:r>
    </w:p>
    <w:p xmlns:wp14="http://schemas.microsoft.com/office/word/2010/wordml" w:rsidP="2A69BA68" wp14:paraId="7C58192E" wp14:textId="2D83B547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Background: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BMS core functions and limits; where losses and buffers come from5.</w:t>
      </w:r>
    </w:p>
    <w:p xmlns:wp14="http://schemas.microsoft.com/office/word/2010/wordml" w:rsidP="2A69BA68" wp14:paraId="541EDEA8" wp14:textId="32D614B1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TFT design: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Signal–Structure–Scheduling triad; tiny‑footprint implementation pattern; comms and timing discipline.</w:t>
      </w:r>
    </w:p>
    <w:p xmlns:wp14="http://schemas.microsoft.com/office/word/2010/wordml" w:rsidP="2A69BA68" wp14:paraId="6B8A2768" wp14:textId="181A511B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Methods: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Metrics (usable SOC window, RTE, thermal stress); test plans (A/B firmware, HIL bench, drive/ESS cycles).</w:t>
      </w:r>
    </w:p>
    <w:p xmlns:wp14="http://schemas.microsoft.com/office/word/2010/wordml" w:rsidP="2A69BA68" wp14:paraId="2451E6FB" wp14:textId="4948F80A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Results: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Chemistry‑specific “effective Wh” deltas; sensitivity to temperature, C‑rate, and aging.</w:t>
      </w:r>
    </w:p>
    <w:p xmlns:wp14="http://schemas.microsoft.com/office/word/2010/wordml" w:rsidP="2A69BA68" wp14:paraId="1D7F3078" wp14:textId="17F4513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Discussion: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Deployment pathways (EV, ESS), safety envelopes, warranty implications, and fleet‑level impact.</w:t>
      </w:r>
    </w:p>
    <w:p xmlns:wp14="http://schemas.microsoft.com/office/word/2010/wordml" w:rsidP="2A69BA68" wp14:paraId="3442D09A" wp14:textId="697FB3AD">
      <w:pPr>
        <w:pStyle w:val="ListParagraph"/>
        <w:numPr>
          <w:ilvl w:val="0"/>
          <w:numId w:val="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Conclusion: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Minimal code, maximal coherence—how TFT turns buffers into service.</w:t>
      </w:r>
    </w:p>
    <w:p xmlns:wp14="http://schemas.microsoft.com/office/word/2010/wordml" w:rsidP="2A69BA68" wp14:paraId="7BECCC07" wp14:textId="2C832123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Market context and BMS function citations to anchor claims14. We can add EV penetration tables and player maps as needed3.</w:t>
      </w:r>
    </w:p>
    <w:p xmlns:wp14="http://schemas.microsoft.com/office/word/2010/wordml" w:rsidP="2A69BA68" wp14:paraId="33B74BE5" wp14:textId="784DD84A">
      <w:pPr>
        <w:pStyle w:val="Heading3"/>
        <w:bidi w:val="0"/>
        <w:spacing w:before="281" w:beforeAutospacing="off" w:after="281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Optional: minimal TFT loop (illustrative)</w:t>
      </w:r>
    </w:p>
    <w:p xmlns:wp14="http://schemas.microsoft.com/office/word/2010/wordml" w:rsidP="2A69BA68" wp14:paraId="29CDCD08" wp14:textId="28982DC5">
      <w:pPr>
        <w:bidi w:val="0"/>
        <w:spacing w:before="0" w:beforeAutospacing="off" w:after="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c</w:t>
      </w:r>
    </w:p>
    <w:p xmlns:wp14="http://schemas.microsoft.com/office/word/2010/wordml" w:rsidP="2A69BA68" wp14:paraId="50CE4197" wp14:textId="1B3E30E3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// Pseudocode: TFT layer inside BMS main loop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tick_sync();                      // align ADC/PWM phases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samples = adc_read_sync();        // low-jitter voltage/current/temp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state = est_state(samples);       // SOC/SOH/SOP with conf. intervals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cmd = tft_policy(state, schedule, thermal_headroom);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// cmd packs: CC/CV setpoint tweak, balance duty, switch phasing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apply_actuation(cmd);</w:t>
      </w:r>
      <w:r>
        <w:br/>
      </w:r>
      <w:r w:rsidRPr="2A69BA68" w:rsidR="7E73B554">
        <w:rPr>
          <w:rFonts w:ascii="Consolas" w:hAnsi="Consolas" w:eastAsia="Consolas" w:cs="Consolas"/>
          <w:noProof w:val="0"/>
          <w:sz w:val="24"/>
          <w:szCs w:val="24"/>
          <w:lang w:val="en-US"/>
        </w:rPr>
        <w:t>telemetry_send_compact(state, cmd);  // deterministic, lossless framing</w:t>
      </w:r>
      <w:r>
        <w:br/>
      </w:r>
    </w:p>
    <w:p xmlns:wp14="http://schemas.microsoft.com/office/word/2010/wordml" w:rsidP="2A69BA68" wp14:paraId="00F0BC8F" wp14:textId="57DCC757">
      <w:pPr>
        <w:pStyle w:val="Heading2"/>
        <w:bidi w:val="0"/>
        <w:spacing w:before="299" w:beforeAutospacing="off" w:after="299" w:afterAutospacing="off"/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What I need from you to lock this in</w:t>
      </w:r>
    </w:p>
    <w:p xmlns:wp14="http://schemas.microsoft.com/office/word/2010/wordml" w:rsidP="2A69BA68" wp14:paraId="085FC3BF" wp14:textId="13F84C3F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metrics: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 you want primary results in gravimetric Wh/kg, volumetric Wh/L, or pack‑level effective Wh for named platforms?</w:t>
      </w:r>
    </w:p>
    <w:p xmlns:wp14="http://schemas.microsoft.com/office/word/2010/wordml" w:rsidP="2A69BA68" wp14:paraId="294E0370" wp14:textId="08396B04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cases: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Prioritize EV (NMC/NCA, LFP), ESS (LFP, sodium‑ion, flow), or lead‑acid retrofit?</w:t>
      </w:r>
    </w:p>
    <w:p xmlns:wp14="http://schemas.microsoft.com/office/word/2010/wordml" w:rsidP="2A69BA68" wp14:paraId="1CB75B63" wp14:textId="099F9C29">
      <w:pPr>
        <w:pStyle w:val="ListParagraph"/>
        <w:numPr>
          <w:ilvl w:val="0"/>
          <w:numId w:val="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A69BA68" w:rsidR="7E73B55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Evidence plan:</w:t>
      </w: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Bench profiles (drive cycles, duty cycles), temperature setpoints, and acceptance thresholds for uplift.</w:t>
      </w:r>
    </w:p>
    <w:p xmlns:wp14="http://schemas.microsoft.com/office/word/2010/wordml" w:rsidP="2A69BA68" wp14:paraId="165846BE" wp14:textId="145B089E">
      <w:pPr>
        <w:bidi w:val="0"/>
        <w:spacing w:before="240" w:beforeAutospacing="off" w:after="240" w:afterAutospacing="off"/>
      </w:pPr>
      <w:r w:rsidRPr="2A69BA68" w:rsidR="7E73B554">
        <w:rPr>
          <w:rFonts w:ascii="Aptos" w:hAnsi="Aptos" w:eastAsia="Aptos" w:cs="Aptos"/>
          <w:noProof w:val="0"/>
          <w:sz w:val="24"/>
          <w:szCs w:val="24"/>
          <w:lang w:val="en-US"/>
        </w:rPr>
        <w:t>If you give me the audience and top two chemistries to lead with, I’ll turn this into a 6–8 page paper draft with figures, tables, and a methods appendix.</w:t>
      </w:r>
    </w:p>
    <w:p xmlns:wp14="http://schemas.microsoft.com/office/word/2010/wordml" wp14:paraId="2C078E63" wp14:textId="5528A28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72a5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b10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aad5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86d2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773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16ab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ecd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795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8B7EB"/>
    <w:rsid w:val="2A69BA68"/>
    <w:rsid w:val="2C98B7EB"/>
    <w:rsid w:val="7E73B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B7EB"/>
  <w15:chartTrackingRefBased/>
  <w15:docId w15:val="{80BEEF1E-89F0-4132-A536-EC76F2E74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A69BA6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A69BA6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2A69BA68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2A69BA68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5">
    <w:uiPriority w:val="9"/>
    <w:name w:val="heading 5"/>
    <w:basedOn w:val="Normal"/>
    <w:next w:val="Normal"/>
    <w:unhideWhenUsed/>
    <w:qFormat/>
    <w:rsid w:val="2A69BA68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paragraph" w:styleId="Heading3">
    <w:uiPriority w:val="9"/>
    <w:name w:val="heading 3"/>
    <w:basedOn w:val="Normal"/>
    <w:next w:val="Normal"/>
    <w:unhideWhenUsed/>
    <w:qFormat/>
    <w:rsid w:val="2A69BA68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dee840082046d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2025-08-14T14:59:45.2903615Z</dcterms:created>
  <dcterms:modified xsi:type="dcterms:W3CDTF">2025-08-14T15:00:25.7797987Z</dcterms:modified>
  <dc:creator>Andrew Wilson</dc:creator>
  <lastModifiedBy>Andrew Wilson</lastModifiedBy>
</coreProperties>
</file>