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6268f4c5e78647f3" /><Relationship Type="http://schemas.openxmlformats.org/package/2006/relationships/metadata/core-properties" Target="/package/services/metadata/core-properties/ed487af0130947aa96694b8ad29c6af0.psmdcp" Id="R6c6622908e0a43c6" /></Relationships>
</file>

<file path=word/document.xml><?xml version="1.0" encoding="utf-8"?>
<w:document xmlns:w="http://schemas.openxmlformats.org/wordprocessingml/2006/main">
  <w:body>
    <w:p>
      <w:pPr>
        <w:pStyle w:val="heading1"/>
      </w:pPr>
      <w:r>
        <w:t>When Symbols Speak: Engineering a Resonant Glyph Language with Triadic Frameworks</w:t>
      </w:r>
    </w:p>
    <w:p>
      <w:r>
        <w:pict>
          <v:rect xmlns:o="urn:schemas-microsoft-com:office:office" xmlns:v="urn:schemas-microsoft-com:vml" style="height:.05pt;mso-width-percent:1000" o:hr="true" o:hrstd="true" o:hralign="center" fillcolor="A0A0A0" stroked="false"/>
        </w:pict>
      </w:r>
    </w:p>
    <w:p>
      <w:pPr>
        <w:pStyle w:val="heading2"/>
      </w:pPr>
      <w:r>
        <w:t>Executive Summary</w:t>
      </w:r>
    </w:p>
    <w:p>
      <w:r>
        <w:t>The quest to engineer a resilient, inclusive, and universally interoperable glyph-based language system draws from myriad scientific, clinical, and technological insights. This report compiles state-of-the-art research across several domains to inform the design of a trauma-informed, neuro-inclusive symbolic language architecture guided by Triadic Frameworks Engineering (TFE) principles. The analysis covers how current language systems affect neurocognitive development, especially in trauma and neurodivergent populations; the specific challenges and mechanisms underlying language loss and relearning after trauma; the legacy and engineering of Star Trek’s universal translator compared with real-world universal translation technologies; and a blueprint for designing a next-generation glyph language. This system integrates principles of shallow phoneme mapping, deep visual compositionality, parent-child glyph hierarchies, metadata encoding, and namespace registration-founding a living system adept at meaning preservation, universal translation, and cross-cultural resilience.</w:t>
      </w:r>
    </w:p>
    <w:p>
      <w:r>
        <w:pict>
          <v:rect xmlns:o="urn:schemas-microsoft-com:office:office" xmlns:v="urn:schemas-microsoft-com:vml" style="height:.05pt;mso-width-percent:1000" o:hr="true" o:hrstd="true" o:hralign="center" fillcolor="A0A0A0" stroked="false"/>
        </w:pict>
      </w:r>
    </w:p>
    <w:p>
      <w:pPr>
        <w:pStyle w:val="heading2"/>
      </w:pPr>
      <w:r>
        <w:t>1. Neurocognitive Impact of Natural Languages on Brain Development in Trauma and Neurodivergent Populations</w:t>
      </w:r>
    </w:p>
    <w:p>
      <w:pPr>
        <w:pStyle w:val="heading3"/>
      </w:pPr>
      <w:r>
        <w:t>1.1. How Language Shapes the Brain</w:t>
      </w:r>
    </w:p>
    <w:p>
      <w:r>
        <w:rPr>
          <w:b/>
        </w:rPr>
        <w:t>Language is not merely a medium for communication but a primary engine of cognitive and social development.</w:t>
      </w:r>
      <w:r>
        <w:t xml:space="preserve"> Brain imaging and developmental neurobiology consistently show that exposure to natural language sculpts specialized regions within the left-lateralized frontotemporal network of the brain. Critical language regions include Broca’s area (speech production and grammar), Wernicke’s area (comprehension), the angular gyrus (conceptual association), the auditory cortex (phonological processing), and the motor cortex (physical articulation)</w:t>
      </w:r>
      <w:r>
        <w:rPr>
          <w:vertAlign w:val="superscript"/>
        </w:rPr>
        <w:t>1</w:t>
      </w:r>
      <w:r>
        <w:t>.</w:t>
      </w:r>
    </w:p>
    <w:p>
      <w:r>
        <w:t xml:space="preserve">Development of these regions is highly sensitive to experience, particularly during the so-called “sensitive periods” of early childhood. </w:t>
      </w:r>
      <w:r>
        <w:rPr>
          <w:b/>
        </w:rPr>
        <w:t>Deprivation or restriction of language during these critical years leads to measurable, persistent anatomical and functional deficits.</w:t>
      </w:r>
      <w:r>
        <w:t xml:space="preserve"> For example, studies on congenitally deaf adults raised without early access to signed or spoken language show reduced cortical volume and thickness in language-relevant areas compared to native signers or hearing individuals</w:t>
      </w:r>
      <w:r>
        <w:rPr>
          <w:vertAlign w:val="superscript"/>
        </w:rPr>
        <w:t>2</w:t>
      </w:r>
      <w:r>
        <w:t>. These effects persist across sensory modalities, implying a universal need for early, rich linguistic input rather than reliance on a particular form (speech, sign, etc.).</w:t>
      </w:r>
    </w:p>
    <w:p>
      <w:r>
        <w:rPr>
          <w:b/>
        </w:rPr>
        <w:t>Table 1: Brain Regions Specialized for Language Processing</w:t>
      </w:r>
    </w:p>
    <w:tbl>
      <w:tblPr>
        <w:tblStyle w:val="TableGrid"/>
        <w:tblW w:w="5000" w:type="pct"/>
      </w:tblPr>
      <w:tr>
        <w:trPr>
          <w:cnfStyle w:firstRow="true"/>
        </w:trPr>
        <w:tc>
          <w:p>
            <w:r>
              <w:t>Brain Region</w:t>
            </w:r>
          </w:p>
        </w:tc>
        <w:tc>
          <w:p>
            <w:r>
              <w:t>Primary Function</w:t>
            </w:r>
          </w:p>
        </w:tc>
        <w:tc>
          <w:p>
            <w:r>
              <w:t>Impairment Outcome</w:t>
            </w:r>
          </w:p>
        </w:tc>
      </w:tr>
      <w:tr>
        <w:tc>
          <w:p>
            <w:r>
              <w:t>Broca’s Area</w:t>
            </w:r>
          </w:p>
        </w:tc>
        <w:tc>
          <w:p>
            <w:r>
              <w:t>Speech production, grammatical processing</w:t>
            </w:r>
          </w:p>
        </w:tc>
        <w:tc>
          <w:p>
            <w:r>
              <w:t>Expressive aphasia</w:t>
            </w:r>
          </w:p>
        </w:tc>
      </w:tr>
      <w:tr>
        <w:tc>
          <w:p>
            <w:r>
              <w:t>Wernicke’s Area</w:t>
            </w:r>
          </w:p>
        </w:tc>
        <w:tc>
          <w:p>
            <w:r>
              <w:t>Language comprehension</w:t>
            </w:r>
          </w:p>
        </w:tc>
        <w:tc>
          <w:p>
            <w:r>
              <w:t>Receptive aphasia</w:t>
            </w:r>
          </w:p>
        </w:tc>
      </w:tr>
      <w:tr>
        <w:tc>
          <w:p>
            <w:r>
              <w:t>Angular Gyrus</w:t>
            </w:r>
          </w:p>
        </w:tc>
        <w:tc>
          <w:p>
            <w:r>
              <w:t>Visual-verbal integration, metaphor, abstraction</w:t>
            </w:r>
          </w:p>
        </w:tc>
        <w:tc>
          <w:p>
            <w:r>
              <w:t>Alexia, agraphia</w:t>
            </w:r>
          </w:p>
        </w:tc>
      </w:tr>
      <w:tr>
        <w:tc>
          <w:p>
            <w:r>
              <w:t>Auditory Cortex</w:t>
            </w:r>
          </w:p>
        </w:tc>
        <w:tc>
          <w:p>
            <w:r>
              <w:t>Phonological and auditory processing</w:t>
            </w:r>
          </w:p>
        </w:tc>
        <w:tc>
          <w:p>
            <w:r>
              <w:t>Impaired sound discrimination</w:t>
            </w:r>
          </w:p>
        </w:tc>
      </w:tr>
      <w:tr>
        <w:tc>
          <w:p>
            <w:r>
              <w:t>Motor Cortex</w:t>
            </w:r>
          </w:p>
        </w:tc>
        <w:tc>
          <w:p>
            <w:r>
              <w:t>Articulatory planning and execution</w:t>
            </w:r>
          </w:p>
        </w:tc>
        <w:tc>
          <w:p>
            <w:r>
              <w:t>Dysarthria</w:t>
            </w:r>
          </w:p>
        </w:tc>
      </w:tr>
      <w:tr>
        <w:tc>
          <w:p>
            <w:r>
              <w:t>Arcuate Fasciculus</w:t>
            </w:r>
          </w:p>
        </w:tc>
        <w:tc>
          <w:p>
            <w:r>
              <w:t>Connects Broca’s and Wernicke’s for integrated language</w:t>
            </w:r>
          </w:p>
        </w:tc>
        <w:tc>
          <w:p>
            <w:r>
              <w:t>Conduction aphasia</w:t>
            </w:r>
          </w:p>
        </w:tc>
      </w:tr>
    </w:tbl>
    <w:p>
      <w:r>
        <w:rPr>
          <w:b/>
        </w:rPr>
        <w:t>Neural plasticity, while robust, is not limitless; access to enriched, nurturing environments is crucial for optimal language system maturation</w:t>
      </w:r>
      <w:r>
        <w:rPr>
          <w:vertAlign w:val="superscript"/>
        </w:rPr>
        <w:t>2</w:t>
      </w:r>
      <w:r>
        <w:t>. Socioeconomic disadvantage, trauma, and cultural alienation often lead to lower linguistic input (in quantity and quality), exacerbating disparities in cognitive and language development.</w:t>
      </w:r>
    </w:p>
    <w:p>
      <w:pPr>
        <w:pStyle w:val="heading3"/>
      </w:pPr>
      <w:r>
        <w:t>1.2. Language, Neurodiversity, and Trauma</w:t>
      </w:r>
    </w:p>
    <w:p>
      <w:r>
        <w:rPr>
          <w:b/>
        </w:rPr>
        <w:t>Language systems encode not only meaning but also social and cultural values.</w:t>
      </w:r>
      <w:r>
        <w:t xml:space="preserve"> For neurodivergent individuals-those whose cognitive processing diverges from societal norms, including autism, ADHD, dyslexia, and others-language can be a double-edged sword. On one hand, language serves as a tool for self-advocacy, community building, and resilience; on the other, inflexible or stigmatizing language can marginalize and compound trauma</w:t>
      </w:r>
      <w:r>
        <w:rPr>
          <w:vertAlign w:val="superscript"/>
        </w:rPr>
        <w:t>3</w:t>
      </w:r>
      <w:r>
        <w:t>.</w:t>
      </w:r>
    </w:p>
    <w:p>
      <w:r>
        <w:t xml:space="preserve">Words fundamentally shape identity and lived experience. </w:t>
      </w:r>
      <w:r>
        <w:rPr>
          <w:b/>
        </w:rPr>
        <w:t>Trauma-informed linguistics emphasizes that language choices may unintentionally retrigger trauma, reinforce shame, or undermine trust and agency.</w:t>
      </w:r>
      <w:r>
        <w:t xml:space="preserve"> Proper design and policy must prioritize evolving, neuroinclusive terminology and adaptive communication modes, especially for those previously underserved by mainstream linguistic systems.</w:t>
      </w:r>
    </w:p>
    <w:p>
      <w:r>
        <w:rPr>
          <w:b/>
        </w:rPr>
        <w:t>Key trauma-informed design principles (SAMHSA, UX frameworks):</w:t>
      </w:r>
    </w:p>
    <w:p>
      <w:pPr>
        <w:pStyle w:val="ListParagraph"/>
        <w:numPr>
          <w:ilvl w:val="0"/>
          <w:numId w:val="1"/>
        </w:numPr>
      </w:pPr>
      <w:r>
        <w:t>Safety (predictable, non-threatening environment)</w:t>
      </w:r>
    </w:p>
    <w:p>
      <w:pPr>
        <w:pStyle w:val="ListParagraph"/>
        <w:numPr>
          <w:ilvl w:val="0"/>
          <w:numId w:val="1"/>
        </w:numPr>
      </w:pPr>
      <w:r>
        <w:t>Trust and transparency</w:t>
      </w:r>
    </w:p>
    <w:p>
      <w:pPr>
        <w:pStyle w:val="ListParagraph"/>
        <w:numPr>
          <w:ilvl w:val="0"/>
          <w:numId w:val="1"/>
        </w:numPr>
      </w:pPr>
      <w:r>
        <w:t>Peer/community support</w:t>
      </w:r>
    </w:p>
    <w:p>
      <w:pPr>
        <w:pStyle w:val="ListParagraph"/>
        <w:numPr>
          <w:ilvl w:val="0"/>
          <w:numId w:val="1"/>
        </w:numPr>
      </w:pPr>
      <w:r>
        <w:t>Collaboration and mutuality</w:t>
      </w:r>
    </w:p>
    <w:p>
      <w:pPr>
        <w:pStyle w:val="ListParagraph"/>
        <w:numPr>
          <w:ilvl w:val="0"/>
          <w:numId w:val="1"/>
        </w:numPr>
      </w:pPr>
      <w:r>
        <w:t>Empowerment and choice</w:t>
      </w:r>
    </w:p>
    <w:p>
      <w:pPr>
        <w:pStyle w:val="ListParagraph"/>
        <w:numPr>
          <w:ilvl w:val="0"/>
          <w:numId w:val="1"/>
        </w:numPr>
      </w:pPr>
      <w:r>
        <w:t>Cultural and historical sensitivity</w:t>
      </w:r>
      <w:r>
        <w:rPr>
          <w:vertAlign w:val="superscript"/>
        </w:rPr>
        <w:t>4</w:t>
      </w:r>
    </w:p>
    <w:p>
      <w:r>
        <w:rPr>
          <w:b/>
        </w:rPr>
        <w:t>Table 2: Trauma-Informed Design Principles (Based on SAMHSA/UX guidelines)</w:t>
      </w:r>
    </w:p>
    <w:tbl>
      <w:tblPr>
        <w:tblStyle w:val="TableGrid"/>
        <w:tblW w:w="5000" w:type="pct"/>
      </w:tblPr>
      <w:tr>
        <w:trPr>
          <w:cnfStyle w:firstRow="true"/>
        </w:trPr>
        <w:tc>
          <w:p>
            <w:r>
              <w:t>Principle</w:t>
            </w:r>
          </w:p>
        </w:tc>
        <w:tc>
          <w:p>
            <w:r>
              <w:t>Design Strategy Example</w:t>
            </w:r>
          </w:p>
        </w:tc>
      </w:tr>
      <w:tr>
        <w:tc>
          <w:p>
            <w:r>
              <w:t>Safety</w:t>
            </w:r>
          </w:p>
        </w:tc>
        <w:tc>
          <w:p>
            <w:r>
              <w:t>Predictable layouts, content warnings, safe exit options</w:t>
            </w:r>
          </w:p>
        </w:tc>
      </w:tr>
      <w:tr>
        <w:tc>
          <w:p>
            <w:r>
              <w:t>Trust &amp; Transparency</w:t>
            </w:r>
          </w:p>
        </w:tc>
        <w:tc>
          <w:p>
            <w:r>
              <w:t>Plain language, clear data policy, non-coercive error messages</w:t>
            </w:r>
          </w:p>
        </w:tc>
      </w:tr>
      <w:tr>
        <w:tc>
          <w:p>
            <w:r>
              <w:t>Peer Support</w:t>
            </w:r>
          </w:p>
        </w:tc>
        <w:tc>
          <w:p>
            <w:r>
              <w:t>Testimonial features, shared recovery narratives</w:t>
            </w:r>
          </w:p>
        </w:tc>
      </w:tr>
      <w:tr>
        <w:tc>
          <w:p>
            <w:r>
              <w:t>Collaboration</w:t>
            </w:r>
          </w:p>
        </w:tc>
        <w:tc>
          <w:p>
            <w:r>
              <w:t>Feedback channels with real influence, user control over access and speed</w:t>
            </w:r>
          </w:p>
        </w:tc>
      </w:tr>
      <w:tr>
        <w:tc>
          <w:p>
            <w:r>
              <w:t>Empowerment/Choice</w:t>
            </w:r>
          </w:p>
        </w:tc>
        <w:tc>
          <w:p>
            <w:r>
              <w:t>Undo/save options, multiple formats/languages, task autonomy</w:t>
            </w:r>
          </w:p>
        </w:tc>
      </w:tr>
      <w:tr>
        <w:tc>
          <w:p>
            <w:r>
              <w:t>Cultural Responsivity</w:t>
            </w:r>
          </w:p>
        </w:tc>
        <w:tc>
          <w:p>
            <w:r>
              <w:t>Inclusion of non-dominant languages, respectful representation, localization</w:t>
            </w:r>
          </w:p>
        </w:tc>
      </w:tr>
    </w:tbl>
    <w:p>
      <w:r>
        <w:t xml:space="preserve">By </w:t>
      </w:r>
      <w:r>
        <w:rPr>
          <w:b/>
        </w:rPr>
        <w:t>embedding these values in symbolic systems, a glyph language can foster psychological safety and cognitive accessibility even for those with language-based trauma or neurodivergence</w:t>
      </w:r>
      <w:r>
        <w:t>.</w:t>
      </w:r>
    </w:p>
    <w:p>
      <w:r>
        <w:pict>
          <v:rect xmlns:o="urn:schemas-microsoft-com:office:office" xmlns:v="urn:schemas-microsoft-com:vml" style="height:.05pt;mso-width-percent:1000" o:hr="true" o:hrstd="true" o:hralign="center" fillcolor="A0A0A0" stroked="false"/>
        </w:pict>
      </w:r>
    </w:p>
    <w:p>
      <w:pPr>
        <w:pStyle w:val="heading2"/>
      </w:pPr>
      <w:r>
        <w:t>2. Post-Trauma Aphasia: Barriers in Relearning Language and Cross-Linguistic Challenges</w:t>
      </w:r>
    </w:p>
    <w:p>
      <w:pPr>
        <w:pStyle w:val="heading3"/>
      </w:pPr>
      <w:r>
        <w:t>2.1. Aphasia: Types and Neurological Profiles</w:t>
      </w:r>
    </w:p>
    <w:p>
      <w:r>
        <w:rPr>
          <w:b/>
        </w:rPr>
        <w:t>Aphasia-most commonly caused by stroke or head trauma-disrupts language comprehension, expression, or both, often without affecting intelligence.</w:t>
      </w:r>
      <w:r>
        <w:t xml:space="preserve"> Its forms depend on lesion location:</w:t>
      </w:r>
    </w:p>
    <w:p>
      <w:pPr>
        <w:pStyle w:val="ListParagraph"/>
        <w:numPr>
          <w:ilvl w:val="0"/>
          <w:numId w:val="2"/>
        </w:numPr>
      </w:pPr>
      <w:r>
        <w:rPr>
          <w:b/>
        </w:rPr>
        <w:t>Broca’s (Expressive)</w:t>
      </w:r>
      <w:r>
        <w:t>: Non-fluent, effortful speech; comprehension relatively preserved</w:t>
      </w:r>
    </w:p>
    <w:p>
      <w:pPr>
        <w:pStyle w:val="ListParagraph"/>
        <w:numPr>
          <w:ilvl w:val="0"/>
          <w:numId w:val="2"/>
        </w:numPr>
      </w:pPr>
      <w:r>
        <w:rPr>
          <w:b/>
        </w:rPr>
        <w:t>Wernicke’s (Receptive)</w:t>
      </w:r>
      <w:r>
        <w:t>: Fluent but meaningless speech, poor comprehension</w:t>
      </w:r>
    </w:p>
    <w:p>
      <w:pPr>
        <w:pStyle w:val="ListParagraph"/>
        <w:numPr>
          <w:ilvl w:val="0"/>
          <w:numId w:val="2"/>
        </w:numPr>
      </w:pPr>
      <w:r>
        <w:rPr>
          <w:b/>
        </w:rPr>
        <w:t>Global Aphasia</w:t>
      </w:r>
      <w:r>
        <w:t>: Severe impairment in both production and comprehension</w:t>
      </w:r>
    </w:p>
    <w:p>
      <w:pPr>
        <w:pStyle w:val="ListParagraph"/>
        <w:numPr>
          <w:ilvl w:val="0"/>
          <w:numId w:val="2"/>
        </w:numPr>
      </w:pPr>
      <w:r>
        <w:rPr>
          <w:b/>
        </w:rPr>
        <w:t>Anomic Aphasia</w:t>
      </w:r>
      <w:r>
        <w:t>: Intact fluency and comprehension but problems naming objects</w:t>
      </w:r>
    </w:p>
    <w:p>
      <w:r>
        <w:rPr>
          <w:b/>
        </w:rPr>
        <w:t>Table 3: Aphasia Types and Affected Linguistic Features</w:t>
      </w:r>
    </w:p>
    <w:tbl>
      <w:tblPr>
        <w:tblStyle w:val="TableGrid"/>
        <w:tblW w:w="5000" w:type="pct"/>
      </w:tblPr>
      <w:tr>
        <w:trPr>
          <w:cnfStyle w:firstRow="true"/>
        </w:trPr>
        <w:tc>
          <w:p>
            <w:r>
              <w:t>Type</w:t>
            </w:r>
          </w:p>
        </w:tc>
        <w:tc>
          <w:p>
            <w:r>
              <w:t>Fluency</w:t>
            </w:r>
          </w:p>
        </w:tc>
        <w:tc>
          <w:p>
            <w:r>
              <w:t>Comprehension</w:t>
            </w:r>
          </w:p>
        </w:tc>
        <w:tc>
          <w:p>
            <w:r>
              <w:t>Key Deficit</w:t>
            </w:r>
          </w:p>
        </w:tc>
      </w:tr>
      <w:tr>
        <w:tc>
          <w:p>
            <w:r>
              <w:t>Broca’s (Expressive)</w:t>
            </w:r>
          </w:p>
        </w:tc>
        <w:tc>
          <w:p>
            <w:r>
              <w:t>Impaired</w:t>
            </w:r>
          </w:p>
        </w:tc>
        <w:tc>
          <w:p>
            <w:r>
              <w:t>Intact</w:t>
            </w:r>
          </w:p>
        </w:tc>
        <w:tc>
          <w:p>
            <w:r>
              <w:t>Halting, agrammatic speech</w:t>
            </w:r>
          </w:p>
        </w:tc>
      </w:tr>
      <w:tr>
        <w:tc>
          <w:p>
            <w:r>
              <w:t>Wernicke’s (Receptive)</w:t>
            </w:r>
          </w:p>
        </w:tc>
        <w:tc>
          <w:p>
            <w:r>
              <w:t>Fluent</w:t>
            </w:r>
          </w:p>
        </w:tc>
        <w:tc>
          <w:p>
            <w:r>
              <w:t>Impaired</w:t>
            </w:r>
          </w:p>
        </w:tc>
        <w:tc>
          <w:p>
            <w:r>
              <w:t>Meaningless, 'word salad'</w:t>
            </w:r>
          </w:p>
        </w:tc>
      </w:tr>
      <w:tr>
        <w:tc>
          <w:p>
            <w:r>
              <w:t>Global</w:t>
            </w:r>
          </w:p>
        </w:tc>
        <w:tc>
          <w:p>
            <w:r>
              <w:t>Severely Impaired</w:t>
            </w:r>
          </w:p>
        </w:tc>
        <w:tc>
          <w:p>
            <w:r>
              <w:t>Severely Impaired</w:t>
            </w:r>
          </w:p>
        </w:tc>
        <w:tc>
          <w:p>
            <w:r>
              <w:t>Near-total loss of language</w:t>
            </w:r>
          </w:p>
        </w:tc>
      </w:tr>
      <w:tr>
        <w:tc>
          <w:p>
            <w:r>
              <w:t>Anomic</w:t>
            </w:r>
          </w:p>
        </w:tc>
        <w:tc>
          <w:p>
            <w:r>
              <w:t>Fluent</w:t>
            </w:r>
          </w:p>
        </w:tc>
        <w:tc>
          <w:p>
            <w:r>
              <w:t>Intact</w:t>
            </w:r>
          </w:p>
        </w:tc>
        <w:tc>
          <w:p>
            <w:r>
              <w:t>Word-finding/naming impairment</w:t>
            </w:r>
          </w:p>
        </w:tc>
      </w:tr>
    </w:tbl>
    <w:p>
      <w:r>
        <w:t xml:space="preserve">Post-trauma, </w:t>
      </w:r>
      <w:r>
        <w:rPr>
          <w:b/>
        </w:rPr>
        <w:t>relearning language is not simply a matter of repetition.</w:t>
      </w:r>
      <w:r>
        <w:t xml:space="preserve"> It engages a dual pathway:</w:t>
      </w:r>
    </w:p>
    <w:p>
      <w:pPr>
        <w:pStyle w:val="ListParagraph"/>
        <w:numPr>
          <w:ilvl w:val="0"/>
          <w:numId w:val="3"/>
        </w:numPr>
      </w:pPr>
      <w:r>
        <w:t>Rapid, episodic learning (hippocampal memory)</w:t>
      </w:r>
    </w:p>
    <w:p>
      <w:pPr>
        <w:pStyle w:val="ListParagraph"/>
        <w:numPr>
          <w:ilvl w:val="0"/>
          <w:numId w:val="3"/>
        </w:numPr>
      </w:pPr>
      <w:r>
        <w:t>Slow, statistical generalization (neocortical consolidation)</w:t>
      </w:r>
    </w:p>
    <w:p>
      <w:r>
        <w:t>Both mechanisms matter-if core language cortical regions are damaged, relearning may remain stuck in slow, effortful, memory-dependent stages</w:t>
      </w:r>
      <w:r>
        <w:rPr>
          <w:vertAlign w:val="superscript"/>
        </w:rPr>
        <w:t>5</w:t>
      </w:r>
      <w:r>
        <w:t>.</w:t>
      </w:r>
    </w:p>
    <w:p>
      <w:pPr>
        <w:pStyle w:val="heading3"/>
      </w:pPr>
      <w:r>
        <w:t>2.2. Hardest Linguistic Features to Relearn</w:t>
      </w:r>
    </w:p>
    <w:p>
      <w:r>
        <w:t xml:space="preserve">Research in both generative and usage-based linguistics indicates that </w:t>
      </w:r>
      <w:r>
        <w:rPr>
          <w:b/>
        </w:rPr>
        <w:t>the most demanding features to recover post-trauma are those at the highest levels of syntactic hierarchy and those with high cognitive integration costs</w:t>
      </w:r>
      <w:r>
        <w:t>:</w:t>
      </w:r>
    </w:p>
    <w:p>
      <w:pPr>
        <w:pStyle w:val="ListParagraph"/>
        <w:numPr>
          <w:ilvl w:val="0"/>
          <w:numId w:val="4"/>
        </w:numPr>
      </w:pPr>
      <w:r>
        <w:rPr>
          <w:b/>
        </w:rPr>
        <w:t>Complex Syntactic Movement:</w:t>
      </w:r>
      <w:r>
        <w:t xml:space="preserve"> Passive constructions, Wh-questions, object-first orders</w:t>
      </w:r>
      <w:r>
        <w:rPr>
          <w:vertAlign w:val="superscript"/>
        </w:rPr>
        <w:t>6</w:t>
      </w:r>
    </w:p>
    <w:p>
      <w:pPr>
        <w:pStyle w:val="ListParagraph"/>
        <w:numPr>
          <w:ilvl w:val="0"/>
          <w:numId w:val="4"/>
        </w:numPr>
      </w:pPr>
      <w:r>
        <w:rPr>
          <w:b/>
        </w:rPr>
        <w:t>Non-canonical (non-SVO) sentence orders:</w:t>
      </w:r>
      <w:r>
        <w:t xml:space="preserve"> Especially challenging in languages with flexible word order or agglutinative grammar</w:t>
      </w:r>
    </w:p>
    <w:p>
      <w:pPr>
        <w:pStyle w:val="ListParagraph"/>
        <w:numPr>
          <w:ilvl w:val="0"/>
          <w:numId w:val="4"/>
        </w:numPr>
      </w:pPr>
      <w:r>
        <w:rPr>
          <w:b/>
        </w:rPr>
        <w:t>Interpretable grammatical features:</w:t>
      </w:r>
      <w:r>
        <w:t xml:space="preserve"> Tense, aspect, polarity are harder than simple agreement</w:t>
      </w:r>
    </w:p>
    <w:p>
      <w:pPr>
        <w:pStyle w:val="ListParagraph"/>
        <w:numPr>
          <w:ilvl w:val="0"/>
          <w:numId w:val="4"/>
        </w:numPr>
      </w:pPr>
      <w:r>
        <w:rPr>
          <w:b/>
        </w:rPr>
        <w:t>Thematic role mapping:</w:t>
      </w:r>
      <w:r>
        <w:t xml:space="preserve"> Difficulty assigning who did what to whom in sentences</w:t>
      </w:r>
    </w:p>
    <w:p>
      <w:r>
        <w:t xml:space="preserve">Cross-linguistic studies show that </w:t>
      </w:r>
      <w:r>
        <w:rPr>
          <w:b/>
        </w:rPr>
        <w:t>the “height” of a feature in the syntactic tree and its distance from the canonical word order tend to predict relearning difficulty</w:t>
      </w:r>
      <w:r>
        <w:t>. For example, Turkish-speaking aphasics had particular trouble with object-first word orders, while Malay speakers displayed unique error patterns on passives</w:t>
      </w:r>
      <w:r>
        <w:rPr>
          <w:vertAlign w:val="superscript"/>
        </w:rPr>
        <w:t>7</w:t>
      </w:r>
      <w:r>
        <w:rPr>
          <w:vertAlign w:val="superscript"/>
        </w:rPr>
        <w:t>8</w:t>
      </w:r>
      <w:r>
        <w:t>.</w:t>
      </w:r>
    </w:p>
    <w:p>
      <w:r>
        <w:rPr>
          <w:b/>
        </w:rPr>
        <w:t>Table 4: Linguistic Features and Post-Trauma Relearning Difficulty</w:t>
      </w:r>
    </w:p>
    <w:tbl>
      <w:tblPr>
        <w:tblStyle w:val="TableGrid"/>
        <w:tblW w:w="5000" w:type="pct"/>
      </w:tblPr>
      <w:tr>
        <w:trPr>
          <w:cnfStyle w:firstRow="true"/>
        </w:trPr>
        <w:tc>
          <w:p>
            <w:r>
              <w:t>Linguistic Construct</w:t>
            </w:r>
          </w:p>
        </w:tc>
        <w:tc>
          <w:p>
            <w:r>
              <w:t>Processing Impact</w:t>
            </w:r>
          </w:p>
        </w:tc>
        <w:tc>
          <w:p>
            <w:r>
              <w:t>Theoretical Model</w:t>
            </w:r>
          </w:p>
        </w:tc>
      </w:tr>
      <w:tr>
        <w:tc>
          <w:p>
            <w:r>
              <w:t>Syntactic Movement (e.g. passives)</w:t>
            </w:r>
          </w:p>
        </w:tc>
        <w:tc>
          <w:p>
            <w:r>
              <w:t>High</w:t>
            </w:r>
          </w:p>
        </w:tc>
        <w:tc>
          <w:p>
            <w:r>
              <w:t>Trace Deletion, DOP-H, RM</w:t>
            </w:r>
          </w:p>
        </w:tc>
      </w:tr>
      <w:tr>
        <w:tc>
          <w:p>
            <w:r>
              <w:t>Interpretable Features (e.g. tense)</w:t>
            </w:r>
          </w:p>
        </w:tc>
        <w:tc>
          <w:p>
            <w:r>
              <w:t>High</w:t>
            </w:r>
          </w:p>
        </w:tc>
        <w:tc>
          <w:p>
            <w:r>
              <w:t>IFIH</w:t>
            </w:r>
          </w:p>
        </w:tc>
      </w:tr>
      <w:tr>
        <w:tc>
          <w:p>
            <w:r>
              <w:t>Non-canonical Sentence Order</w:t>
            </w:r>
          </w:p>
        </w:tc>
        <w:tc>
          <w:p>
            <w:r>
              <w:t>High</w:t>
            </w:r>
          </w:p>
        </w:tc>
        <w:tc>
          <w:p>
            <w:r>
              <w:t>Derived Order Problem Hypothesis</w:t>
            </w:r>
          </w:p>
        </w:tc>
      </w:tr>
      <w:tr>
        <w:tc>
          <w:p>
            <w:r>
              <w:t>Simple Agreement</w:t>
            </w:r>
          </w:p>
        </w:tc>
        <w:tc>
          <w:p>
            <w:r>
              <w:t>Low</w:t>
            </w:r>
          </w:p>
        </w:tc>
        <w:tc>
          <w:p>
            <w:r>
              <w:t>IFIH</w:t>
            </w:r>
          </w:p>
        </w:tc>
      </w:tr>
      <w:tr>
        <w:tc>
          <w:p>
            <w:r>
              <w:t>Canonical Word Order</w:t>
            </w:r>
          </w:p>
        </w:tc>
        <w:tc>
          <w:p>
            <w:r>
              <w:t>Lower</w:t>
            </w:r>
          </w:p>
        </w:tc>
        <w:tc>
          <w:p>
            <w:r>
              <w:t>n/a</w:t>
            </w:r>
          </w:p>
        </w:tc>
      </w:tr>
    </w:tbl>
    <w:p>
      <w:pPr>
        <w:pStyle w:val="heading3"/>
      </w:pPr>
      <w:r>
        <w:t>2.3. Comparative Challenges by Language and User Profile</w:t>
      </w:r>
    </w:p>
    <w:p>
      <w:r>
        <w:rPr>
          <w:b/>
        </w:rPr>
        <w:t>Languages with deep orthographies, high degree of inflection, or multiple non-linear scripts tend to pose greater challenges post-injury</w:t>
      </w:r>
      <w:r>
        <w:t>. Bilingual and multilingual speakers face unique vulnerabilities-with both languages often impaired but sometimes recovered asymmetrically based on pre-injury proficiency, recent exposure, and semantic proximity (cognate advantage)</w:t>
      </w:r>
      <w:r>
        <w:rPr>
          <w:vertAlign w:val="superscript"/>
        </w:rPr>
        <w:t>8</w:t>
      </w:r>
      <w:r>
        <w:t>.</w:t>
      </w:r>
    </w:p>
    <w:p>
      <w:pPr>
        <w:pStyle w:val="ListParagraph"/>
        <w:numPr>
          <w:ilvl w:val="0"/>
          <w:numId w:val="5"/>
        </w:numPr>
      </w:pPr>
      <w:r>
        <w:rPr>
          <w:b/>
        </w:rPr>
        <w:t>Semantic therapy, leveraging word meaning and association, can aid in cross-language activation and partial transfer</w:t>
      </w:r>
      <w:r>
        <w:t>-for instance, training a cognate in one language can help retrieve its counterpart in another.</w:t>
      </w:r>
    </w:p>
    <w:p>
      <w:pPr>
        <w:pStyle w:val="ListParagraph"/>
        <w:numPr>
          <w:ilvl w:val="0"/>
          <w:numId w:val="5"/>
        </w:numPr>
      </w:pPr>
      <w:r>
        <w:rPr>
          <w:b/>
        </w:rPr>
        <w:t>However, non-cognate or “false friends” may trigger interference.</w:t>
      </w:r>
      <w:r>
        <w:t xml:space="preserve"> Thus, transparency in symbol-to-meaning mapping and explicit representation of semantic features facilitate recovery.</w:t>
      </w:r>
    </w:p>
    <w:p>
      <w:r>
        <w:rPr>
          <w:b/>
        </w:rPr>
        <w:t>Key Insight for Glyph Language Engineering:</w:t>
      </w:r>
      <w:r>
        <w:br/>
      </w:r>
      <w:r>
        <w:t>To maximize recovery and learning across trauma and linguistic diversity, design systems should privilege:</w:t>
      </w:r>
    </w:p>
    <w:p>
      <w:pPr>
        <w:pStyle w:val="ListParagraph"/>
        <w:numPr>
          <w:ilvl w:val="0"/>
          <w:numId w:val="6"/>
        </w:numPr>
      </w:pPr>
      <w:r>
        <w:rPr>
          <w:b/>
        </w:rPr>
        <w:t>Shallow, regular mappings</w:t>
      </w:r>
      <w:r>
        <w:t xml:space="preserve"> between symbols, phonemes, and meaning</w:t>
      </w:r>
    </w:p>
    <w:p>
      <w:pPr>
        <w:pStyle w:val="ListParagraph"/>
        <w:numPr>
          <w:ilvl w:val="0"/>
          <w:numId w:val="6"/>
        </w:numPr>
      </w:pPr>
      <w:r>
        <w:rPr>
          <w:b/>
        </w:rPr>
        <w:t>Redundant encoding</w:t>
      </w:r>
      <w:r>
        <w:t xml:space="preserve"> (visual, auditory, gesture), supporting various learning and compensation styles</w:t>
      </w:r>
    </w:p>
    <w:p>
      <w:pPr>
        <w:pStyle w:val="ListParagraph"/>
        <w:numPr>
          <w:ilvl w:val="0"/>
          <w:numId w:val="6"/>
        </w:numPr>
      </w:pPr>
      <w:r>
        <w:rPr>
          <w:b/>
        </w:rPr>
        <w:t>Hierarchical, but navigable, parent-child structures</w:t>
      </w:r>
      <w:r>
        <w:t xml:space="preserve"> to aid partial preservation, modular relearning, and semantic scaffolding</w:t>
      </w:r>
    </w:p>
    <w:p>
      <w:r>
        <w:pict>
          <v:rect xmlns:o="urn:schemas-microsoft-com:office:office" xmlns:v="urn:schemas-microsoft-com:vml" style="height:.05pt;mso-width-percent:1000" o:hr="true" o:hrstd="true" o:hralign="center" fillcolor="A0A0A0" stroked="false"/>
        </w:pict>
      </w:r>
    </w:p>
    <w:p>
      <w:pPr>
        <w:pStyle w:val="heading2"/>
      </w:pPr>
      <w:r>
        <w:t>3. Universal Translation: From Star Trek to Real-World AI</w:t>
      </w:r>
    </w:p>
    <w:p>
      <w:pPr>
        <w:pStyle w:val="heading3"/>
      </w:pPr>
      <w:r>
        <w:t>3.1. The Star Trek Universal Translator (UT): Fictional Archetype</w:t>
      </w:r>
    </w:p>
    <w:p>
      <w:r>
        <w:t xml:space="preserve">Star Trek’s universal translator has served as a powerful symbol for transcending linguistic barriers, inspiring generations of linguists and engineers. </w:t>
      </w:r>
      <w:r>
        <w:rPr>
          <w:b/>
        </w:rPr>
        <w:t>In canon, the UT functions by:</w:t>
      </w:r>
    </w:p>
    <w:p>
      <w:pPr>
        <w:pStyle w:val="ListParagraph"/>
        <w:numPr>
          <w:ilvl w:val="0"/>
          <w:numId w:val="7"/>
        </w:numPr>
      </w:pPr>
      <w:r>
        <w:t>Seamlessly translating any alien language into the user’s native tongue, often in real time</w:t>
      </w:r>
    </w:p>
    <w:p>
      <w:pPr>
        <w:pStyle w:val="ListParagraph"/>
        <w:numPr>
          <w:ilvl w:val="0"/>
          <w:numId w:val="7"/>
        </w:numPr>
      </w:pPr>
      <w:r>
        <w:t>Constructing “translation matrices” dynamically from samples of unknown speech, sometimes requiring initial assistance from a linguist (e.g., Hoshi Sato)</w:t>
      </w:r>
    </w:p>
    <w:p>
      <w:pPr>
        <w:pStyle w:val="ListParagraph"/>
        <w:numPr>
          <w:ilvl w:val="0"/>
          <w:numId w:val="7"/>
        </w:numPr>
      </w:pPr>
      <w:r>
        <w:t>Using brainwave and conceptual pattern detection to assign meanings and even tone or gender to translations</w:t>
      </w:r>
      <w:r>
        <w:rPr>
          <w:vertAlign w:val="superscript"/>
        </w:rPr>
        <w:t>9</w:t>
      </w:r>
      <w:r>
        <w:rPr>
          <w:vertAlign w:val="superscript"/>
        </w:rPr>
        <w:t>10</w:t>
      </w:r>
    </w:p>
    <w:p>
      <w:r>
        <w:rPr>
          <w:b/>
        </w:rPr>
        <w:t>Table 5: Architectures and Evolution of Star Trek Universal Translator</w:t>
      </w:r>
    </w:p>
    <w:tbl>
      <w:tblPr>
        <w:tblStyle w:val="TableGrid"/>
        <w:tblW w:w="5000" w:type="pct"/>
      </w:tblPr>
      <w:tr>
        <w:trPr>
          <w:cnfStyle w:firstRow="true"/>
        </w:trPr>
        <w:tc>
          <w:p>
            <w:r>
              <w:t>Era</w:t>
            </w:r>
          </w:p>
        </w:tc>
        <w:tc>
          <w:p>
            <w:r>
              <w:t>Device Type</w:t>
            </w:r>
          </w:p>
        </w:tc>
        <w:tc>
          <w:p>
            <w:r>
              <w:t>Key Feature</w:t>
            </w:r>
          </w:p>
        </w:tc>
      </w:tr>
      <w:tr>
        <w:tc>
          <w:p>
            <w:r>
              <w:t>2151</w:t>
            </w:r>
          </w:p>
        </w:tc>
        <w:tc>
          <w:p>
            <w:r>
              <w:t>Handheld device</w:t>
            </w:r>
          </w:p>
        </w:tc>
        <w:tc>
          <w:p>
            <w:r>
              <w:t>Required linguist input, built translation matrix</w:t>
            </w:r>
          </w:p>
        </w:tc>
      </w:tr>
      <w:tr>
        <w:tc>
          <w:p>
            <w:r>
              <w:t>2250s-2310s</w:t>
            </w:r>
          </w:p>
        </w:tc>
        <w:tc>
          <w:p>
            <w:r>
              <w:t>Integrated communicator</w:t>
            </w:r>
          </w:p>
        </w:tc>
        <w:tc>
          <w:p>
            <w:r>
              <w:t>Real-time audio translation, multi-language mode</w:t>
            </w:r>
          </w:p>
        </w:tc>
      </w:tr>
      <w:tr>
        <w:tc>
          <w:p>
            <w:r>
              <w:t>24th Century</w:t>
            </w:r>
          </w:p>
        </w:tc>
        <w:tc>
          <w:p>
            <w:r>
              <w:t>Combadge, embedded in system</w:t>
            </w:r>
          </w:p>
        </w:tc>
        <w:tc>
          <w:p>
            <w:r>
              <w:t>Natural, near-invisible, voice-matching output</w:t>
            </w:r>
          </w:p>
        </w:tc>
      </w:tr>
    </w:tbl>
    <w:p>
      <w:r>
        <w:rPr>
          <w:b/>
        </w:rPr>
        <w:t>Limitations and Fictional Edge Cases:</w:t>
      </w:r>
    </w:p>
    <w:p>
      <w:pPr>
        <w:pStyle w:val="ListParagraph"/>
        <w:numPr>
          <w:ilvl w:val="0"/>
          <w:numId w:val="8"/>
        </w:numPr>
      </w:pPr>
      <w:r>
        <w:t>UTs struggled with metaphor-based languages (“Darmok and Jalad at Tanagra”) and non-humanoid cognition</w:t>
      </w:r>
    </w:p>
    <w:p>
      <w:pPr>
        <w:pStyle w:val="ListParagraph"/>
        <w:numPr>
          <w:ilvl w:val="0"/>
          <w:numId w:val="8"/>
        </w:numPr>
      </w:pPr>
      <w:r>
        <w:t>Translation matrices had to be built iteratively from context</w:t>
      </w:r>
    </w:p>
    <w:p>
      <w:pPr>
        <w:pStyle w:val="ListParagraph"/>
        <w:numPr>
          <w:ilvl w:val="0"/>
          <w:numId w:val="8"/>
        </w:numPr>
      </w:pPr>
      <w:r>
        <w:t>Sometimes, technical glitches interrupted translation, with manual reversion required</w:t>
      </w:r>
    </w:p>
    <w:p>
      <w:r>
        <w:rPr>
          <w:b/>
        </w:rPr>
        <w:t>Engineering Principles to Extract:</w:t>
      </w:r>
    </w:p>
    <w:p>
      <w:pPr>
        <w:pStyle w:val="ListParagraph"/>
        <w:numPr>
          <w:ilvl w:val="0"/>
          <w:numId w:val="9"/>
        </w:numPr>
      </w:pPr>
      <w:r>
        <w:rPr>
          <w:b/>
        </w:rPr>
        <w:t>Iterative matrix construction</w:t>
      </w:r>
      <w:r>
        <w:t>: Translation relies on exposure to sufficient live data to build an accurate model</w:t>
      </w:r>
    </w:p>
    <w:p>
      <w:pPr>
        <w:pStyle w:val="ListParagraph"/>
        <w:numPr>
          <w:ilvl w:val="0"/>
          <w:numId w:val="9"/>
        </w:numPr>
      </w:pPr>
      <w:r>
        <w:rPr>
          <w:b/>
        </w:rPr>
        <w:t>Shared conceptual grounding</w:t>
      </w:r>
      <w:r>
        <w:t>: The UT finds “universal ideas,” a semiotic approach more than mere codebook substitution</w:t>
      </w:r>
    </w:p>
    <w:p>
      <w:pPr>
        <w:pStyle w:val="ListParagraph"/>
        <w:numPr>
          <w:ilvl w:val="0"/>
          <w:numId w:val="9"/>
        </w:numPr>
      </w:pPr>
      <w:r>
        <w:rPr>
          <w:b/>
        </w:rPr>
        <w:t>Flexible, layered architecture</w:t>
      </w:r>
      <w:r>
        <w:t>: Hallmarks of future-forward translation tech</w:t>
      </w:r>
    </w:p>
    <w:p>
      <w:pPr>
        <w:pStyle w:val="heading3"/>
      </w:pPr>
      <w:r>
        <w:t>3.2. Real-World Universal Translation Technologies</w:t>
      </w:r>
    </w:p>
    <w:p>
      <w:r>
        <w:t>Modern AI-aided translation systems are making credible strides toward the Star Trek ideal, albeit with sobering caveats.</w:t>
      </w:r>
    </w:p>
    <w:p>
      <w:r>
        <w:rPr>
          <w:b/>
        </w:rPr>
        <w:t>Phases:</w:t>
      </w:r>
    </w:p>
    <w:p>
      <w:pPr>
        <w:pStyle w:val="ListParagraph"/>
        <w:numPr>
          <w:ilvl w:val="0"/>
          <w:numId w:val="10"/>
        </w:numPr>
      </w:pPr>
      <w:r>
        <w:rPr>
          <w:b/>
        </w:rPr>
        <w:t>Rule-Based Translation (RBMT):</w:t>
      </w:r>
      <w:r>
        <w:t xml:space="preserve"> Early systems hard-coded syntactic and grammatical rules</w:t>
      </w:r>
    </w:p>
    <w:p>
      <w:pPr>
        <w:pStyle w:val="ListParagraph"/>
        <w:numPr>
          <w:ilvl w:val="0"/>
          <w:numId w:val="10"/>
        </w:numPr>
      </w:pPr>
      <w:r>
        <w:rPr>
          <w:b/>
        </w:rPr>
        <w:t>Statistical Machine Translation (SMT):</w:t>
      </w:r>
      <w:r>
        <w:t xml:space="preserve"> Used parallel corpora to deduce likely mappings; better but often clunky</w:t>
      </w:r>
    </w:p>
    <w:p>
      <w:pPr>
        <w:pStyle w:val="ListParagraph"/>
        <w:numPr>
          <w:ilvl w:val="0"/>
          <w:numId w:val="10"/>
        </w:numPr>
      </w:pPr>
      <w:r>
        <w:rPr>
          <w:b/>
        </w:rPr>
        <w:t>Neural Machine Translation (NMT):</w:t>
      </w:r>
      <w:r>
        <w:t xml:space="preserve"> Leverages deep learning to infer context, grammar, and register across and within languages</w:t>
      </w:r>
    </w:p>
    <w:p>
      <w:r>
        <w:rPr>
          <w:b/>
        </w:rPr>
        <w:t>Recent advances:</w:t>
      </w:r>
    </w:p>
    <w:p>
      <w:pPr>
        <w:pStyle w:val="ListParagraph"/>
        <w:numPr>
          <w:ilvl w:val="0"/>
          <w:numId w:val="11"/>
        </w:numPr>
      </w:pPr>
      <w:r>
        <w:t>Multilingual AI models (e.g., Facebook’s M2M-100, Meta’s SeamlessM4T) can translate between dozens/hundreds of languages, including zero-shot (unpaired) pairs</w:t>
      </w:r>
      <w:r>
        <w:rPr>
          <w:vertAlign w:val="superscript"/>
        </w:rPr>
        <w:t>11</w:t>
      </w:r>
      <w:r>
        <w:rPr>
          <w:vertAlign w:val="superscript"/>
        </w:rPr>
        <w:t>12</w:t>
      </w:r>
    </w:p>
    <w:p>
      <w:pPr>
        <w:pStyle w:val="ListParagraph"/>
        <w:numPr>
          <w:ilvl w:val="0"/>
          <w:numId w:val="11"/>
        </w:numPr>
      </w:pPr>
      <w:r>
        <w:t>Real-time, speech-to-speech and speech-to-text translation in “live” settings-on phones, in conferencing, and with embedded devices</w:t>
      </w:r>
    </w:p>
    <w:p>
      <w:pPr>
        <w:pStyle w:val="ListParagraph"/>
        <w:numPr>
          <w:ilvl w:val="0"/>
          <w:numId w:val="11"/>
        </w:numPr>
      </w:pPr>
      <w:r>
        <w:t>Handling of not just text, but complex context, tone, and sometimes even emotion</w:t>
      </w:r>
    </w:p>
    <w:p>
      <w:r>
        <w:rPr>
          <w:b/>
        </w:rPr>
        <w:t>Table 6: Comparison of Universal Translation System Architectures</w:t>
      </w:r>
    </w:p>
    <w:tbl>
      <w:tblPr>
        <w:tblStyle w:val="TableGrid"/>
        <w:tblW w:w="5000" w:type="pct"/>
      </w:tblPr>
      <w:tr>
        <w:trPr>
          <w:cnfStyle w:firstRow="true"/>
        </w:trPr>
        <w:tc>
          <w:p>
            <w:r>
              <w:t>System</w:t>
            </w:r>
          </w:p>
        </w:tc>
        <w:tc>
          <w:p>
            <w:r>
              <w:t>Modalities</w:t>
            </w:r>
          </w:p>
        </w:tc>
        <w:tc>
          <w:p>
            <w:r>
              <w:t>Languages Supported</w:t>
            </w:r>
          </w:p>
        </w:tc>
        <w:tc>
          <w:p>
            <w:r>
              <w:t>Core Technology</w:t>
            </w:r>
          </w:p>
        </w:tc>
        <w:tc>
          <w:p>
            <w:r>
              <w:t>Limitations</w:t>
            </w:r>
          </w:p>
        </w:tc>
      </w:tr>
      <w:tr>
        <w:tc>
          <w:p>
            <w:r>
              <w:t>Early RBMT</w:t>
            </w:r>
          </w:p>
        </w:tc>
        <w:tc>
          <w:p>
            <w:r>
              <w:t>Text</w:t>
            </w:r>
          </w:p>
        </w:tc>
        <w:tc>
          <w:p>
            <w:r>
              <w:t>1-2</w:t>
            </w:r>
          </w:p>
        </w:tc>
        <w:tc>
          <w:p>
            <w:r>
              <w:t>Rule sets</w:t>
            </w:r>
          </w:p>
        </w:tc>
        <w:tc>
          <w:p>
            <w:r>
              <w:t>Poor idiom handling; rigid</w:t>
            </w:r>
          </w:p>
        </w:tc>
      </w:tr>
      <w:tr>
        <w:tc>
          <w:p>
            <w:r>
              <w:t>Google Translate (SMT, early NMT)</w:t>
            </w:r>
          </w:p>
        </w:tc>
        <w:tc>
          <w:p>
            <w:r>
              <w:t>Text (now speech)</w:t>
            </w:r>
          </w:p>
        </w:tc>
        <w:tc>
          <w:p>
            <w:r/>
            <w:r>
              <w:t>~</w:t>
            </w:r>
            <w:r>
              <w:t>100</w:t>
            </w:r>
          </w:p>
        </w:tc>
        <w:tc>
          <w:p>
            <w:r>
              <w:t>Phrase/word stats, then neural nets</w:t>
            </w:r>
          </w:p>
        </w:tc>
        <w:tc>
          <w:p>
            <w:r>
              <w:t>Context/nuance still weak</w:t>
            </w:r>
          </w:p>
        </w:tc>
      </w:tr>
      <w:tr>
        <w:tc>
          <w:p>
            <w:r>
              <w:t>SeamlessM4T (Meta)</w:t>
            </w:r>
          </w:p>
        </w:tc>
        <w:tc>
          <w:p>
            <w:r>
              <w:t>Speech/Audio/Text</w:t>
            </w:r>
          </w:p>
        </w:tc>
        <w:tc>
          <w:p>
            <w:r>
              <w:t>100+</w:t>
            </w:r>
          </w:p>
        </w:tc>
        <w:tc>
          <w:p>
            <w:r>
              <w:t>Unified neural net, multimodal embeddings</w:t>
            </w:r>
          </w:p>
        </w:tc>
        <w:tc>
          <w:p>
            <w:r>
              <w:t>Gender bias, toxic translation, limits on low-resource languages</w:t>
            </w:r>
          </w:p>
        </w:tc>
      </w:tr>
    </w:tbl>
    <w:p>
      <w:r>
        <w:t>AI translation still faces thorny obstacles, especially:</w:t>
      </w:r>
    </w:p>
    <w:p>
      <w:pPr>
        <w:pStyle w:val="ListParagraph"/>
        <w:numPr>
          <w:ilvl w:val="0"/>
          <w:numId w:val="12"/>
        </w:numPr>
      </w:pPr>
      <w:r>
        <w:rPr>
          <w:b/>
        </w:rPr>
        <w:t>Ambiguity and context sensitivity:</w:t>
      </w:r>
      <w:r>
        <w:t xml:space="preserve"> Sarcasm, idioms, poetry, culture-dependent metaphors</w:t>
      </w:r>
    </w:p>
    <w:p>
      <w:pPr>
        <w:pStyle w:val="ListParagraph"/>
        <w:numPr>
          <w:ilvl w:val="0"/>
          <w:numId w:val="12"/>
        </w:numPr>
      </w:pPr>
      <w:r>
        <w:rPr>
          <w:b/>
        </w:rPr>
        <w:t>Data bias, privacy, and ethical concerns</w:t>
      </w:r>
    </w:p>
    <w:p>
      <w:pPr>
        <w:pStyle w:val="ListParagraph"/>
        <w:numPr>
          <w:ilvl w:val="0"/>
          <w:numId w:val="12"/>
        </w:numPr>
      </w:pPr>
      <w:r>
        <w:rPr>
          <w:b/>
        </w:rPr>
        <w:t>Material loss of nuance in translation can, for trauma survivors or the neurodivergent, perpetuate alienation or harm if not handled sensitively</w:t>
      </w:r>
    </w:p>
    <w:p>
      <w:r>
        <w:rPr>
          <w:b/>
        </w:rPr>
        <w:t>What Fiction and Reality Agree On:</w:t>
      </w:r>
    </w:p>
    <w:p>
      <w:pPr>
        <w:pStyle w:val="ListParagraph"/>
        <w:numPr>
          <w:ilvl w:val="0"/>
          <w:numId w:val="13"/>
        </w:numPr>
      </w:pPr>
      <w:r>
        <w:rPr>
          <w:b/>
        </w:rPr>
        <w:t>Translation is more than mapping words; it is mapping ideas, intentions, context, and identities</w:t>
      </w:r>
    </w:p>
    <w:p>
      <w:pPr>
        <w:pStyle w:val="ListParagraph"/>
        <w:numPr>
          <w:ilvl w:val="0"/>
          <w:numId w:val="13"/>
        </w:numPr>
      </w:pPr>
      <w:r>
        <w:t>To move closer to “universal” translation, systems should emphasize:</w:t>
      </w:r>
    </w:p>
    <w:p>
      <w:pPr>
        <w:pStyle w:val="ListParagraph"/>
        <w:numPr>
          <w:ilvl w:val="1"/>
          <w:numId w:val="13"/>
        </w:numPr>
      </w:pPr>
      <w:r>
        <w:rPr>
          <w:b/>
        </w:rPr>
        <w:t>Semantic, not just lexical, interoperability</w:t>
      </w:r>
    </w:p>
    <w:p>
      <w:pPr>
        <w:pStyle w:val="ListParagraph"/>
        <w:numPr>
          <w:ilvl w:val="1"/>
          <w:numId w:val="13"/>
        </w:numPr>
      </w:pPr>
      <w:r>
        <w:rPr>
          <w:b/>
        </w:rPr>
        <w:t>Meta-layer encoding of context (emotion, modality, origin, etc.)</w:t>
      </w:r>
    </w:p>
    <w:p>
      <w:pPr>
        <w:pStyle w:val="ListParagraph"/>
        <w:numPr>
          <w:ilvl w:val="1"/>
          <w:numId w:val="13"/>
        </w:numPr>
      </w:pPr>
      <w:r>
        <w:rPr>
          <w:b/>
        </w:rPr>
        <w:t>Decentralized namespace management and identification for words/symbols</w:t>
      </w:r>
    </w:p>
    <w:p>
      <w:r>
        <w:pict>
          <v:rect xmlns:o="urn:schemas-microsoft-com:office:office" xmlns:v="urn:schemas-microsoft-com:vml" style="height:.05pt;mso-width-percent:1000" o:hr="true" o:hrstd="true" o:hralign="center" fillcolor="A0A0A0" stroked="false"/>
        </w:pict>
      </w:r>
    </w:p>
    <w:p>
      <w:pPr>
        <w:pStyle w:val="heading2"/>
      </w:pPr>
      <w:r>
        <w:t>4. Glyph Language Engineering: Design Principles for Interoperability, Inclusion, and Longevity</w:t>
      </w:r>
    </w:p>
    <w:p>
      <w:pPr>
        <w:pStyle w:val="heading3"/>
      </w:pPr>
      <w:r>
        <w:t>4.1. Semiotic Foundations, Visual Compositionality, and Triadic Frameworks</w:t>
      </w:r>
    </w:p>
    <w:p>
      <w:r>
        <w:rPr>
          <w:b/>
        </w:rPr>
        <w:t>Glyphs represent the core visual units of meaning across human culture, from petroglyphs and cuneiform to Unicode emojis.</w:t>
      </w:r>
      <w:r>
        <w:t xml:space="preserve"> A glyph is not merely an image but a semiotic sign: in Peirce’s triadic model, linking an object (concept), a representamen (sign-vehicle), and an interpretant (meaning as understood)</w:t>
      </w:r>
      <w:r>
        <w:rPr>
          <w:vertAlign w:val="superscript"/>
        </w:rPr>
        <w:t>13</w:t>
      </w:r>
      <w:r>
        <w:t>.</w:t>
      </w:r>
    </w:p>
    <w:p>
      <w:r>
        <w:rPr>
          <w:b/>
        </w:rPr>
        <w:t>Triadic theory provides a robust scaffolding for glyph language engineering:</w:t>
      </w:r>
    </w:p>
    <w:p>
      <w:pPr>
        <w:pStyle w:val="ListParagraph"/>
        <w:numPr>
          <w:ilvl w:val="0"/>
          <w:numId w:val="14"/>
        </w:numPr>
      </w:pPr>
      <w:r>
        <w:rPr>
          <w:b/>
        </w:rPr>
        <w:t>Object:</w:t>
      </w:r>
      <w:r>
        <w:t xml:space="preserve"> The meaning, referent, or concept (e.g., “tree,” “walk,” “yesterday”)</w:t>
      </w:r>
    </w:p>
    <w:p>
      <w:pPr>
        <w:pStyle w:val="ListParagraph"/>
        <w:numPr>
          <w:ilvl w:val="0"/>
          <w:numId w:val="14"/>
        </w:numPr>
      </w:pPr>
      <w:r>
        <w:rPr>
          <w:b/>
        </w:rPr>
        <w:t>Representamen:</w:t>
      </w:r>
      <w:r>
        <w:t xml:space="preserve"> Glyph, icon, index, or composite mark (the visual form)</w:t>
      </w:r>
    </w:p>
    <w:p>
      <w:pPr>
        <w:pStyle w:val="ListParagraph"/>
        <w:numPr>
          <w:ilvl w:val="0"/>
          <w:numId w:val="14"/>
        </w:numPr>
      </w:pPr>
      <w:r>
        <w:rPr>
          <w:b/>
        </w:rPr>
        <w:t>Interpretant:</w:t>
      </w:r>
      <w:r>
        <w:t xml:space="preserve"> User’s contextualized, culturally informed understanding</w:t>
      </w:r>
    </w:p>
    <w:p>
      <w:r>
        <w:rPr>
          <w:b/>
        </w:rPr>
        <w:t>Key features of glyph-based semiotic systems:</w:t>
      </w:r>
    </w:p>
    <w:p>
      <w:pPr>
        <w:pStyle w:val="ListParagraph"/>
        <w:numPr>
          <w:ilvl w:val="0"/>
          <w:numId w:val="15"/>
        </w:numPr>
      </w:pPr>
      <w:r>
        <w:rPr>
          <w:b/>
        </w:rPr>
        <w:t>Icons:</w:t>
      </w:r>
      <w:r>
        <w:t xml:space="preserve"> Visually resemble their referent (stick figures, pictograms)</w:t>
      </w:r>
    </w:p>
    <w:p>
      <w:pPr>
        <w:pStyle w:val="ListParagraph"/>
        <w:numPr>
          <w:ilvl w:val="0"/>
          <w:numId w:val="15"/>
        </w:numPr>
      </w:pPr>
      <w:r>
        <w:rPr>
          <w:b/>
        </w:rPr>
        <w:t>Indices:</w:t>
      </w:r>
      <w:r>
        <w:t xml:space="preserve"> Arbitrate meaning by correlation or context (arrows, pointers)</w:t>
      </w:r>
    </w:p>
    <w:p>
      <w:pPr>
        <w:pStyle w:val="ListParagraph"/>
        <w:numPr>
          <w:ilvl w:val="0"/>
          <w:numId w:val="15"/>
        </w:numPr>
      </w:pPr>
      <w:r>
        <w:rPr>
          <w:b/>
        </w:rPr>
        <w:t>Symbols:</w:t>
      </w:r>
      <w:r>
        <w:t xml:space="preserve"> Rely on convention (letters, numerals, logograms)</w:t>
      </w:r>
    </w:p>
    <w:p>
      <w:r>
        <w:rPr>
          <w:b/>
        </w:rPr>
        <w:t>Design implications:</w:t>
      </w:r>
      <w:r>
        <w:br/>
      </w:r>
      <w:r>
        <w:t>A universal glyph language should balance the cognitive accessibility of icons and indices for rapid learning (especially post-trauma or for children) with the scalability of symbols for abstract, high-dimensional concepts.</w:t>
      </w:r>
    </w:p>
    <w:p>
      <w:r>
        <w:rPr>
          <w:b/>
        </w:rPr>
        <w:t>Gestalt principles-proximity, similarity, continuity, closure, and symmetry-govern the effective composition of visual glyphs</w:t>
      </w:r>
      <w:r>
        <w:rPr>
          <w:vertAlign w:val="superscript"/>
        </w:rPr>
        <w:t>14</w:t>
      </w:r>
      <w:r>
        <w:t>. Composing glyphs into “parent-child trees” leverages humans’ natural abilities for pattern recognition and conceptual chunking-a critical element for neurodivergent and trauma-informed usability.</w:t>
      </w:r>
    </w:p>
    <w:p>
      <w:pPr>
        <w:pStyle w:val="heading3"/>
      </w:pPr>
      <w:r>
        <w:t>4.2. Visual Compositionality, Parent-Child Trees, and Phoneme Mapping</w:t>
      </w:r>
    </w:p>
    <w:p>
      <w:r>
        <w:rPr>
          <w:b/>
        </w:rPr>
        <w:t>The power of glyph systems lies in their compositionality:</w:t>
      </w:r>
    </w:p>
    <w:p>
      <w:pPr>
        <w:pStyle w:val="ListParagraph"/>
        <w:numPr>
          <w:ilvl w:val="0"/>
          <w:numId w:val="16"/>
        </w:numPr>
      </w:pPr>
      <w:r>
        <w:rPr>
          <w:b/>
        </w:rPr>
        <w:t>Multi-channel visual encoding:</w:t>
      </w:r>
      <w:r>
        <w:t xml:space="preserve"> Use of geometric, optical, topological, and semantic features (color, shape, size, orientation, etc.) allows parallel transmission of metadata and meaning</w:t>
      </w:r>
      <w:r>
        <w:rPr>
          <w:vertAlign w:val="superscript"/>
        </w:rPr>
        <w:t>14</w:t>
      </w:r>
      <w:r>
        <w:t>.</w:t>
      </w:r>
    </w:p>
    <w:p>
      <w:pPr>
        <w:pStyle w:val="ListParagraph"/>
        <w:numPr>
          <w:ilvl w:val="0"/>
          <w:numId w:val="16"/>
        </w:numPr>
      </w:pPr>
      <w:r>
        <w:rPr>
          <w:b/>
        </w:rPr>
        <w:t>Metaphoric mapping:</w:t>
      </w:r>
      <w:r>
        <w:t xml:space="preserve"> Aligning visual form with the represented concept (e.g., using a rising bar for “growth,” a shaded icon for “night”) aids both learning and recall</w:t>
      </w:r>
      <w:r>
        <w:rPr>
          <w:vertAlign w:val="superscript"/>
        </w:rPr>
        <w:t>15</w:t>
      </w:r>
      <w:r>
        <w:t>.</w:t>
      </w:r>
    </w:p>
    <w:p>
      <w:pPr>
        <w:pStyle w:val="ListParagraph"/>
        <w:numPr>
          <w:ilvl w:val="0"/>
          <w:numId w:val="16"/>
        </w:numPr>
      </w:pPr>
      <w:r>
        <w:rPr>
          <w:b/>
        </w:rPr>
        <w:t>Parent-child hierarchies:</w:t>
      </w:r>
      <w:r>
        <w:t xml:space="preserve"> Glyphs can encode semantics at multiple levels (e.g., “mammal” as parent node to “dog”). Trees can be shallow for navigability but also arbitrarily deep for expressive power</w:t>
      </w:r>
      <w:r>
        <w:rPr>
          <w:vertAlign w:val="superscript"/>
        </w:rPr>
        <w:t>16</w:t>
      </w:r>
      <w:r>
        <w:rPr>
          <w:vertAlign w:val="superscript"/>
        </w:rPr>
        <w:t>17</w:t>
      </w:r>
      <w:r>
        <w:t>.</w:t>
      </w:r>
    </w:p>
    <w:p>
      <w:r>
        <w:rPr>
          <w:b/>
        </w:rPr>
        <w:t>Shallow phoneme-to-glyph mappings</w:t>
      </w:r>
      <w:r>
        <w:t xml:space="preserve"> mimic early orthographic/phonological learning processes-where sounds map rapidly to single symbols, then to recombinable visual units. Such mappings are highly effective for both early learners and those recovering from aphasia or language loss, as supported by studies in orthographic mapping and reading interventions</w:t>
      </w:r>
      <w:r>
        <w:rPr>
          <w:vertAlign w:val="superscript"/>
        </w:rPr>
        <w:t>18</w:t>
      </w:r>
      <w:r>
        <w:rPr>
          <w:vertAlign w:val="superscript"/>
        </w:rPr>
        <w:t>19</w:t>
      </w:r>
      <w:r>
        <w:t>.</w:t>
      </w:r>
    </w:p>
    <w:p>
      <w:r>
        <w:rPr>
          <w:b/>
        </w:rPr>
        <w:t>Table 7: Principles and Examples for Visual Compositionality</w:t>
      </w:r>
    </w:p>
    <w:tbl>
      <w:tblPr>
        <w:tblStyle w:val="TableGrid"/>
        <w:tblW w:w="5000" w:type="pct"/>
      </w:tblPr>
      <w:tr>
        <w:trPr>
          <w:cnfStyle w:firstRow="true"/>
        </w:trPr>
        <w:tc>
          <w:p>
            <w:r>
              <w:t>Principle</w:t>
            </w:r>
          </w:p>
        </w:tc>
        <w:tc>
          <w:p>
            <w:r>
              <w:t>Example (Glyph)</w:t>
            </w:r>
          </w:p>
        </w:tc>
        <w:tc>
          <w:p>
            <w:r>
              <w:t>Cognitive/Functional Impact</w:t>
            </w:r>
          </w:p>
        </w:tc>
      </w:tr>
      <w:tr>
        <w:tc>
          <w:p>
            <w:r>
              <w:t>Geometric channeling</w:t>
            </w:r>
          </w:p>
        </w:tc>
        <w:tc>
          <w:p>
            <w:r>
              <w:t>Bar length encodes “duration”</w:t>
            </w:r>
          </w:p>
        </w:tc>
        <w:tc>
          <w:p>
            <w:r>
              <w:t>Allows at-a-glance recognition</w:t>
            </w:r>
          </w:p>
        </w:tc>
      </w:tr>
      <w:tr>
        <w:tc>
          <w:p>
            <w:r>
              <w:t>Color/texture</w:t>
            </w:r>
          </w:p>
        </w:tc>
        <w:tc>
          <w:p>
            <w:r>
              <w:t>Red for “danger,” blue for “calm”</w:t>
            </w:r>
          </w:p>
        </w:tc>
        <w:tc>
          <w:p>
            <w:r>
              <w:t>Triggers pre-attentive emotional cues</w:t>
            </w:r>
          </w:p>
        </w:tc>
      </w:tr>
      <w:tr>
        <w:tc>
          <w:p>
            <w:r>
              <w:t>Parent-child nesting</w:t>
            </w:r>
          </w:p>
        </w:tc>
        <w:tc>
          <w:p>
            <w:r>
              <w:t>Large glyph → smaller sub-glyphs</w:t>
            </w:r>
          </w:p>
        </w:tc>
        <w:tc>
          <w:p>
            <w:r>
              <w:t>Explicit hierarchical structure</w:t>
            </w:r>
          </w:p>
        </w:tc>
      </w:tr>
      <w:tr>
        <w:tc>
          <w:p>
            <w:r>
              <w:t>Phoneme mapping</w:t>
            </w:r>
          </w:p>
        </w:tc>
        <w:tc>
          <w:p>
            <w:r>
              <w:t>/k/ mapped to a “curve” glyph</w:t>
            </w:r>
          </w:p>
        </w:tc>
        <w:tc>
          <w:p>
            <w:r>
              <w:t>Supports rapid decoding, relearning</w:t>
            </w:r>
          </w:p>
        </w:tc>
      </w:tr>
    </w:tbl>
    <w:p>
      <w:pPr>
        <w:pStyle w:val="heading3"/>
      </w:pPr>
      <w:r>
        <w:t>4.3. Metadata Encoding, Namespace Registration, and Symbol Management</w:t>
      </w:r>
    </w:p>
    <w:p>
      <w:r>
        <w:rPr>
          <w:b/>
        </w:rPr>
        <w:t>A living, interoperable glyph language must support explicit metadata encoding and robust namespace registration:</w:t>
      </w:r>
    </w:p>
    <w:p>
      <w:pPr>
        <w:pStyle w:val="ListParagraph"/>
        <w:numPr>
          <w:ilvl w:val="0"/>
          <w:numId w:val="17"/>
        </w:numPr>
      </w:pPr>
      <w:r>
        <w:rPr>
          <w:b/>
        </w:rPr>
        <w:t>Metadata encoding:</w:t>
      </w:r>
      <w:r>
        <w:t xml:space="preserve"> Each glyph can embed data on origin, version, phonetic/semantic mapping, context, and user-specific preferences. Approaches in XML-based standards (METS), OpenType cmap tables, and digital symbolic ontologies provide valuable templates</w:t>
      </w:r>
      <w:r>
        <w:rPr>
          <w:vertAlign w:val="superscript"/>
        </w:rPr>
        <w:t>20</w:t>
      </w:r>
      <w:r>
        <w:rPr>
          <w:vertAlign w:val="superscript"/>
        </w:rPr>
        <w:t>21</w:t>
      </w:r>
      <w:r>
        <w:t>.</w:t>
      </w:r>
    </w:p>
    <w:p>
      <w:pPr>
        <w:pStyle w:val="ListParagraph"/>
        <w:numPr>
          <w:ilvl w:val="0"/>
          <w:numId w:val="17"/>
        </w:numPr>
      </w:pPr>
      <w:r>
        <w:rPr>
          <w:b/>
        </w:rPr>
        <w:t>Namespace management:</w:t>
      </w:r>
      <w:r>
        <w:t xml:space="preserve"> As in programming languages and platforms like the Symbol blockchain, glyph meaning should be traceable to globally unique identifiers, with rules for subnamespace creation, extension, and obsolescence</w:t>
      </w:r>
      <w:r>
        <w:rPr>
          <w:vertAlign w:val="superscript"/>
        </w:rPr>
        <w:t>22</w:t>
      </w:r>
      <w:r>
        <w:t>.</w:t>
      </w:r>
    </w:p>
    <w:p>
      <w:pPr>
        <w:pStyle w:val="ListParagraph"/>
        <w:numPr>
          <w:ilvl w:val="0"/>
          <w:numId w:val="17"/>
        </w:numPr>
      </w:pPr>
      <w:r>
        <w:rPr>
          <w:b/>
        </w:rPr>
        <w:t>Resilience and preservation:</w:t>
      </w:r>
      <w:r>
        <w:t xml:space="preserve"> Storage of parent-child glyph paths, recursion chains, and symbol traits ensures long-term interpretability, migration, and translation-foundational for language preservation in endangered communities and longitudinal trauma recovery.</w:t>
      </w:r>
    </w:p>
    <w:p>
      <w:pPr>
        <w:pStyle w:val="heading3"/>
      </w:pPr>
      <w:r>
        <w:t>4.4. Alignment with Trauma-Informed, Neuro-Friendly, and Culturally Inclusive Design Guidelines</w:t>
      </w:r>
    </w:p>
    <w:p>
      <w:r>
        <w:t xml:space="preserve">Incorporating </w:t>
      </w:r>
      <w:r>
        <w:rPr>
          <w:b/>
        </w:rPr>
        <w:t>trauma-informed and neuro-friendly design means adhering to inclusivity, flexibility, and safety at every layer:</w:t>
      </w:r>
    </w:p>
    <w:p>
      <w:pPr>
        <w:pStyle w:val="ListParagraph"/>
        <w:numPr>
          <w:ilvl w:val="0"/>
          <w:numId w:val="18"/>
        </w:numPr>
      </w:pPr>
      <w:r>
        <w:rPr>
          <w:b/>
        </w:rPr>
        <w:t>Predictable navigation:</w:t>
      </w:r>
      <w:r>
        <w:t xml:space="preserve"> Clear, modular, non-overloading pathways in glyph trees</w:t>
      </w:r>
    </w:p>
    <w:p>
      <w:pPr>
        <w:pStyle w:val="ListParagraph"/>
        <w:numPr>
          <w:ilvl w:val="0"/>
          <w:numId w:val="18"/>
        </w:numPr>
      </w:pPr>
      <w:r>
        <w:rPr>
          <w:b/>
        </w:rPr>
        <w:t>Choice and agency:</w:t>
      </w:r>
      <w:r>
        <w:t xml:space="preserve"> Multiple ways to explore, customize, and annotate glyphs</w:t>
      </w:r>
    </w:p>
    <w:p>
      <w:pPr>
        <w:pStyle w:val="ListParagraph"/>
        <w:numPr>
          <w:ilvl w:val="0"/>
          <w:numId w:val="18"/>
        </w:numPr>
      </w:pPr>
      <w:r>
        <w:rPr>
          <w:b/>
        </w:rPr>
        <w:t>Error-tolerance and reversibility:</w:t>
      </w:r>
      <w:r>
        <w:t xml:space="preserve"> Easy undo/redo; non-punitive error messaging</w:t>
      </w:r>
    </w:p>
    <w:p>
      <w:pPr>
        <w:pStyle w:val="ListParagraph"/>
        <w:numPr>
          <w:ilvl w:val="0"/>
          <w:numId w:val="18"/>
        </w:numPr>
      </w:pPr>
      <w:r>
        <w:rPr>
          <w:b/>
        </w:rPr>
        <w:t>Cultural malleability:</w:t>
      </w:r>
      <w:r>
        <w:t xml:space="preserve"> Space for custom, culturally-specific sub-glyph sets, with meaning preserved through anchoring metadata and etymon tracing</w:t>
      </w:r>
    </w:p>
    <w:p>
      <w:r>
        <w:rPr>
          <w:b/>
        </w:rPr>
        <w:t>Table 8: Trauma-Informed Glyph System Criteria</w:t>
      </w:r>
    </w:p>
    <w:tbl>
      <w:tblPr>
        <w:tblStyle w:val="TableGrid"/>
        <w:tblW w:w="5000" w:type="pct"/>
      </w:tblPr>
      <w:tr>
        <w:trPr>
          <w:cnfStyle w:firstRow="true"/>
        </w:trPr>
        <w:tc>
          <w:p>
            <w:r>
              <w:t>Principle</w:t>
            </w:r>
          </w:p>
        </w:tc>
        <w:tc>
          <w:p>
            <w:r>
              <w:t>Glyph System Strategy</w:t>
            </w:r>
          </w:p>
        </w:tc>
      </w:tr>
      <w:tr>
        <w:tc>
          <w:p>
            <w:r>
              <w:t>Safety</w:t>
            </w:r>
          </w:p>
        </w:tc>
        <w:tc>
          <w:p>
            <w:r>
              <w:t>Avoid visually aggressive cues, allow preview/hide</w:t>
            </w:r>
          </w:p>
        </w:tc>
      </w:tr>
      <w:tr>
        <w:tc>
          <w:p>
            <w:r>
              <w:t>Trust/Transparency</w:t>
            </w:r>
          </w:p>
        </w:tc>
        <w:tc>
          <w:p>
            <w:r>
              <w:t>Expose glyph origin, meaning lineage, versioning</w:t>
            </w:r>
          </w:p>
        </w:tc>
      </w:tr>
      <w:tr>
        <w:tc>
          <w:p>
            <w:r>
              <w:t>Agency</w:t>
            </w:r>
          </w:p>
        </w:tc>
        <w:tc>
          <w:p>
            <w:r>
              <w:t>User-editable glyphs, anonymized translation/self-preference profiles</w:t>
            </w:r>
          </w:p>
        </w:tc>
      </w:tr>
      <w:tr>
        <w:tc>
          <w:p>
            <w:r>
              <w:t>Collaboration</w:t>
            </w:r>
          </w:p>
        </w:tc>
        <w:tc>
          <w:p>
            <w:r>
              <w:t>Open, participatory symbol/meaning registries</w:t>
            </w:r>
          </w:p>
        </w:tc>
      </w:tr>
      <w:tr>
        <w:tc>
          <w:p>
            <w:r>
              <w:t>Cultural Responsiveness</w:t>
            </w:r>
          </w:p>
        </w:tc>
        <w:tc>
          <w:p>
            <w:r>
              <w:t>Localization and contextual adaptation</w:t>
            </w:r>
          </w:p>
        </w:tc>
      </w:tr>
    </w:tbl>
    <w:p>
      <w:pPr>
        <w:pStyle w:val="heading3"/>
      </w:pPr>
      <w:r>
        <w:t>4.5. Interoperability, Language Preservation, and Universal Translation</w:t>
      </w:r>
    </w:p>
    <w:p>
      <w:r>
        <w:t xml:space="preserve">To serve as a </w:t>
      </w:r>
      <w:r>
        <w:rPr>
          <w:b/>
        </w:rPr>
        <w:t>universal translation and preservation layer</w:t>
      </w:r>
      <w:r>
        <w:t>, a glyph system must:</w:t>
      </w:r>
    </w:p>
    <w:p>
      <w:pPr>
        <w:pStyle w:val="ListParagraph"/>
        <w:numPr>
          <w:ilvl w:val="0"/>
          <w:numId w:val="19"/>
        </w:numPr>
      </w:pPr>
      <w:r>
        <w:rPr>
          <w:b/>
        </w:rPr>
        <w:t>Support bidirectional mapping:</w:t>
      </w:r>
      <w:r>
        <w:t xml:space="preserve"> Between glyphs, written/spoken language, sign language, and even technical domains (mathematics, code, music)</w:t>
      </w:r>
      <w:r>
        <w:rPr>
          <w:vertAlign w:val="superscript"/>
        </w:rPr>
        <w:t>23</w:t>
      </w:r>
      <w:r>
        <w:rPr>
          <w:vertAlign w:val="superscript"/>
        </w:rPr>
        <w:t>24</w:t>
      </w:r>
      <w:r>
        <w:t>.</w:t>
      </w:r>
    </w:p>
    <w:p>
      <w:pPr>
        <w:pStyle w:val="ListParagraph"/>
        <w:numPr>
          <w:ilvl w:val="0"/>
          <w:numId w:val="19"/>
        </w:numPr>
      </w:pPr>
      <w:r>
        <w:rPr>
          <w:b/>
        </w:rPr>
        <w:t>Canonical representation:</w:t>
      </w:r>
      <w:r>
        <w:t xml:space="preserve"> Stable digital identity (e.g., “digest” or hash-based UOR system) for each semantic unit, aiding in symbolic reconciliation and migration across systems</w:t>
      </w:r>
      <w:r>
        <w:rPr>
          <w:vertAlign w:val="superscript"/>
        </w:rPr>
        <w:t>25</w:t>
      </w:r>
      <w:r>
        <w:t>.</w:t>
      </w:r>
    </w:p>
    <w:p>
      <w:pPr>
        <w:pStyle w:val="ListParagraph"/>
        <w:numPr>
          <w:ilvl w:val="0"/>
          <w:numId w:val="19"/>
        </w:numPr>
      </w:pPr>
      <w:r>
        <w:rPr>
          <w:b/>
        </w:rPr>
        <w:t>Self-healing, recursive architecture:</w:t>
      </w:r>
      <w:r>
        <w:t xml:space="preserve"> Live digest graphs and semantic routing allow adaptive updates, lineage tracking, and reverse compatibility</w:t>
      </w:r>
      <w:r>
        <w:rPr>
          <w:vertAlign w:val="superscript"/>
        </w:rPr>
        <w:t>24</w:t>
      </w:r>
      <w:r>
        <w:t>.</w:t>
      </w:r>
    </w:p>
    <w:p>
      <w:r>
        <w:pict>
          <v:rect xmlns:o="urn:schemas-microsoft-com:office:office" xmlns:v="urn:schemas-microsoft-com:vml" style="height:.05pt;mso-width-percent:1000" o:hr="true" o:hrstd="true" o:hralign="center" fillcolor="A0A0A0" stroked="false"/>
        </w:pict>
      </w:r>
    </w:p>
    <w:p>
      <w:pPr>
        <w:pStyle w:val="heading2"/>
      </w:pPr>
      <w:r>
        <w:t>5. Triadic Frameworks Engineering (TFE) Principles: Bringing It All Together</w:t>
      </w:r>
    </w:p>
    <w:p>
      <w:pPr>
        <w:pStyle w:val="heading3"/>
      </w:pPr>
      <w:r>
        <w:t>5.1. The Triadic Model as Engineering Blueprint</w:t>
      </w:r>
    </w:p>
    <w:p>
      <w:r>
        <w:rPr>
          <w:b/>
        </w:rPr>
        <w:t>Triadic Frameworks Engineering draws on Peirce’s triadic semiotics-and expands it with computational, semiotic algebra (e.g., Goguen), and cognitive systems approaches</w:t>
      </w:r>
      <w:r>
        <w:t>. The framework supports:</w:t>
      </w:r>
    </w:p>
    <w:p>
      <w:pPr>
        <w:pStyle w:val="ListParagraph"/>
        <w:numPr>
          <w:ilvl w:val="0"/>
          <w:numId w:val="20"/>
        </w:numPr>
      </w:pPr>
      <w:r>
        <w:rPr>
          <w:b/>
        </w:rPr>
        <w:t>Abstraction hierarchy:</w:t>
      </w:r>
      <w:r>
        <w:t xml:space="preserve"> Layered constraints from high-level intention to concrete instantiation</w:t>
      </w:r>
      <w:r>
        <w:rPr>
          <w:vertAlign w:val="superscript"/>
        </w:rPr>
        <w:t>13</w:t>
      </w:r>
    </w:p>
    <w:p>
      <w:pPr>
        <w:pStyle w:val="ListParagraph"/>
        <w:numPr>
          <w:ilvl w:val="0"/>
          <w:numId w:val="20"/>
        </w:numPr>
      </w:pPr>
      <w:r>
        <w:rPr>
          <w:b/>
        </w:rPr>
        <w:t>Skill-rule-knowledge models:</w:t>
      </w:r>
      <w:r>
        <w:t xml:space="preserve"> Support for non-linear, opportunistic, and context-aware symbol navigation</w:t>
      </w:r>
    </w:p>
    <w:p>
      <w:pPr>
        <w:pStyle w:val="ListParagraph"/>
        <w:numPr>
          <w:ilvl w:val="0"/>
          <w:numId w:val="20"/>
        </w:numPr>
      </w:pPr>
      <w:r>
        <w:rPr>
          <w:b/>
        </w:rPr>
        <w:t>Ecological interface design:</w:t>
      </w:r>
      <w:r>
        <w:t xml:space="preserve"> Combining system and user perspectives to maximize interpretability, minimize overload, and enable adaptive reconfiguration</w:t>
      </w:r>
    </w:p>
    <w:p>
      <w:pPr>
        <w:pStyle w:val="ListParagraph"/>
        <w:numPr>
          <w:ilvl w:val="0"/>
          <w:numId w:val="20"/>
        </w:numPr>
      </w:pPr>
      <w:r>
        <w:rPr>
          <w:b/>
        </w:rPr>
        <w:t>Feedback-driven, recursive adaptation:</w:t>
      </w:r>
      <w:r>
        <w:t xml:space="preserve"> Embedding feedback, feedforward, and error-handling as core language design features</w:t>
      </w:r>
    </w:p>
    <w:p>
      <w:r>
        <w:rPr>
          <w:b/>
        </w:rPr>
        <w:t>Table 9: Alignment of TFE with Glyph Language Functions</w:t>
      </w:r>
    </w:p>
    <w:tbl>
      <w:tblPr>
        <w:tblStyle w:val="TableGrid"/>
        <w:tblW w:w="5000" w:type="pct"/>
      </w:tblPr>
      <w:tr>
        <w:trPr>
          <w:cnfStyle w:firstRow="true"/>
        </w:trPr>
        <w:tc>
          <w:p>
            <w:r>
              <w:t>TFE Principle</w:t>
            </w:r>
          </w:p>
        </w:tc>
        <w:tc>
          <w:p>
            <w:r>
              <w:t>Glyph Language Implementation Example</w:t>
            </w:r>
          </w:p>
        </w:tc>
      </w:tr>
      <w:tr>
        <w:tc>
          <w:p>
            <w:r>
              <w:t>Triadic semiotic mapping</w:t>
            </w:r>
          </w:p>
        </w:tc>
        <w:tc>
          <w:p>
            <w:r>
              <w:t>Object (concept), glyph (form), user meaning</w:t>
            </w:r>
          </w:p>
        </w:tc>
      </w:tr>
      <w:tr>
        <w:tc>
          <w:p>
            <w:r>
              <w:t>Abstraction hierarchy</w:t>
            </w:r>
          </w:p>
        </w:tc>
        <w:tc>
          <w:p>
            <w:r>
              <w:t>Parent-child glyph nests, multi-layer metadata</w:t>
            </w:r>
          </w:p>
        </w:tc>
      </w:tr>
      <w:tr>
        <w:tc>
          <w:p>
            <w:r>
              <w:t>Localizable signification</w:t>
            </w:r>
          </w:p>
        </w:tc>
        <w:tc>
          <w:p>
            <w:r>
              <w:t>Custom/localized namespace and icon sets</w:t>
            </w:r>
          </w:p>
        </w:tc>
      </w:tr>
      <w:tr>
        <w:tc>
          <w:p>
            <w:r>
              <w:t>Recursive and reversible</w:t>
            </w:r>
          </w:p>
        </w:tc>
        <w:tc>
          <w:p>
            <w:r>
              <w:t>Self-healing ontological graphs, undo chains</w:t>
            </w:r>
          </w:p>
        </w:tc>
      </w:tr>
      <w:tr>
        <w:tc>
          <w:p>
            <w:r>
              <w:t>Modular compositionality</w:t>
            </w:r>
          </w:p>
        </w:tc>
        <w:tc>
          <w:p>
            <w:r>
              <w:t>Dynamic, user-extensible glyph compositions</w:t>
            </w:r>
          </w:p>
        </w:tc>
      </w:tr>
    </w:tbl>
    <w:p>
      <w:pPr>
        <w:pStyle w:val="heading3"/>
      </w:pPr>
      <w:r>
        <w:t>5.2. Technological Realizations and Engineering Candidates</w:t>
      </w:r>
    </w:p>
    <w:p>
      <w:pPr>
        <w:pStyle w:val="ListParagraph"/>
        <w:numPr>
          <w:ilvl w:val="0"/>
          <w:numId w:val="21"/>
        </w:numPr>
      </w:pPr>
      <w:r>
        <w:rPr>
          <w:b/>
        </w:rPr>
        <w:t>Hash-verified canonical digests</w:t>
      </w:r>
      <w:r>
        <w:t xml:space="preserve"> for irreducible semantic units (cf. UOR encoding, DLT platforms)</w:t>
      </w:r>
    </w:p>
    <w:p>
      <w:pPr>
        <w:pStyle w:val="ListParagraph"/>
        <w:numPr>
          <w:ilvl w:val="0"/>
          <w:numId w:val="21"/>
        </w:numPr>
      </w:pPr>
      <w:r>
        <w:rPr>
          <w:b/>
        </w:rPr>
        <w:t>Metadata schema for glyph definition and registration</w:t>
      </w:r>
      <w:r>
        <w:t xml:space="preserve"> (JSON-LD, XML, METS, OpenType tables)</w:t>
      </w:r>
    </w:p>
    <w:p>
      <w:pPr>
        <w:pStyle w:val="ListParagraph"/>
        <w:numPr>
          <w:ilvl w:val="0"/>
          <w:numId w:val="21"/>
        </w:numPr>
      </w:pPr>
      <w:r>
        <w:rPr>
          <w:b/>
        </w:rPr>
        <w:t>Semantic routing and operator registries</w:t>
      </w:r>
      <w:r>
        <w:t xml:space="preserve"> for live translation, function dispatch, and context negotiation</w:t>
      </w:r>
      <w:r>
        <w:rPr>
          <w:vertAlign w:val="superscript"/>
        </w:rPr>
        <w:t>25</w:t>
      </w:r>
    </w:p>
    <w:p>
      <w:pPr>
        <w:pStyle w:val="ListParagraph"/>
        <w:numPr>
          <w:ilvl w:val="0"/>
          <w:numId w:val="21"/>
        </w:numPr>
      </w:pPr>
      <w:r>
        <w:rPr>
          <w:b/>
        </w:rPr>
        <w:t>Automated and collaborative lexicon/ontology management</w:t>
      </w:r>
      <w:r>
        <w:t>, including participatory dispute resolution and etymon tracing</w:t>
      </w:r>
      <w:r>
        <w:rPr>
          <w:vertAlign w:val="superscript"/>
        </w:rPr>
        <w:t>24</w:t>
      </w:r>
    </w:p>
    <w:p>
      <w:pPr>
        <w:pStyle w:val="heading3"/>
      </w:pPr>
      <w:r>
        <w:t>5.3. Visual, Cognitive, and Social Inclusion</w:t>
      </w:r>
    </w:p>
    <w:p>
      <w:pPr>
        <w:pStyle w:val="ListParagraph"/>
        <w:numPr>
          <w:ilvl w:val="0"/>
          <w:numId w:val="22"/>
        </w:numPr>
      </w:pPr>
      <w:r>
        <w:rPr>
          <w:b/>
        </w:rPr>
        <w:t>Multi-channel, sensory-friendly input/output:</w:t>
      </w:r>
      <w:r>
        <w:t xml:space="preserve"> Support for touch, eye-tracking, voice, and alternative access technologies</w:t>
      </w:r>
    </w:p>
    <w:p>
      <w:pPr>
        <w:pStyle w:val="ListParagraph"/>
        <w:numPr>
          <w:ilvl w:val="0"/>
          <w:numId w:val="22"/>
        </w:numPr>
      </w:pPr>
      <w:r>
        <w:rPr>
          <w:b/>
        </w:rPr>
        <w:t>Participatory and community-driven update processes</w:t>
      </w:r>
      <w:r>
        <w:t>, ensuring continued alignment with evolving neurodiversity, trauma knowledge, and cultural priorities</w:t>
      </w:r>
    </w:p>
    <w:p>
      <w:pPr>
        <w:pStyle w:val="ListParagraph"/>
        <w:numPr>
          <w:ilvl w:val="0"/>
          <w:numId w:val="22"/>
        </w:numPr>
      </w:pPr>
      <w:r>
        <w:rPr>
          <w:b/>
        </w:rPr>
        <w:t>Microgenetic, iterative improvement:</w:t>
      </w:r>
      <w:r>
        <w:t xml:space="preserve"> Following Vygotskyan and discursive neurolinguistic principles for recovering and advancing lost or marginalized meanings</w:t>
      </w:r>
      <w:r>
        <w:rPr>
          <w:vertAlign w:val="superscript"/>
        </w:rPr>
        <w:t>26</w:t>
      </w:r>
    </w:p>
    <w:p>
      <w:r>
        <w:pict>
          <v:rect xmlns:o="urn:schemas-microsoft-com:office:office" xmlns:v="urn:schemas-microsoft-com:vml" style="height:.05pt;mso-width-percent:1000" o:hr="true" o:hrstd="true" o:hralign="center" fillcolor="A0A0A0" stroked="false"/>
        </w:pict>
      </w:r>
    </w:p>
    <w:p>
      <w:pPr>
        <w:pStyle w:val="heading2"/>
      </w:pPr>
      <w:r>
        <w:t>6. Application Scenarios and Implications</w:t>
      </w:r>
    </w:p>
    <w:p>
      <w:pPr>
        <w:pStyle w:val="heading3"/>
      </w:pPr>
      <w:r>
        <w:t>6.1. Parent-Child Glyph Trees and Recovery Support</w:t>
      </w:r>
    </w:p>
    <w:p>
      <w:r>
        <w:t xml:space="preserve">Designing the system as a set of </w:t>
      </w:r>
      <w:r>
        <w:rPr>
          <w:b/>
        </w:rPr>
        <w:t>living, navigable parent-child glyph trees</w:t>
      </w:r>
      <w:r>
        <w:t xml:space="preserve"> enables:</w:t>
      </w:r>
    </w:p>
    <w:p>
      <w:pPr>
        <w:pStyle w:val="ListParagraph"/>
        <w:numPr>
          <w:ilvl w:val="0"/>
          <w:numId w:val="23"/>
        </w:numPr>
      </w:pPr>
      <w:r>
        <w:rPr>
          <w:b/>
        </w:rPr>
        <w:t>Gradual, context-sensitive relearning</w:t>
      </w:r>
      <w:r>
        <w:t xml:space="preserve"> in aphasia and trauma recovery</w:t>
      </w:r>
    </w:p>
    <w:p>
      <w:pPr>
        <w:pStyle w:val="ListParagraph"/>
        <w:numPr>
          <w:ilvl w:val="0"/>
          <w:numId w:val="23"/>
        </w:numPr>
      </w:pPr>
      <w:r>
        <w:rPr>
          <w:b/>
        </w:rPr>
        <w:t>Support for code-switching and bilingual/multi-cultural dialogue</w:t>
      </w:r>
      <w:r>
        <w:t>, leveraging cross-linguistic cognate mapping and partial transfer</w:t>
      </w:r>
    </w:p>
    <w:p>
      <w:pPr>
        <w:pStyle w:val="ListParagraph"/>
        <w:numPr>
          <w:ilvl w:val="0"/>
          <w:numId w:val="23"/>
        </w:numPr>
      </w:pPr>
      <w:r>
        <w:rPr>
          <w:b/>
        </w:rPr>
        <w:t>User-driven annotation and “translation memory,”</w:t>
      </w:r>
      <w:r>
        <w:t xml:space="preserve"> so meanings can evolve while preserving provenance</w:t>
      </w:r>
    </w:p>
    <w:p>
      <w:pPr>
        <w:pStyle w:val="heading3"/>
      </w:pPr>
      <w:r>
        <w:t>6.2. Namespace Registration and Metadata Encoding</w:t>
      </w:r>
    </w:p>
    <w:p>
      <w:pPr>
        <w:pStyle w:val="ListParagraph"/>
        <w:numPr>
          <w:ilvl w:val="0"/>
          <w:numId w:val="24"/>
        </w:numPr>
      </w:pPr>
      <w:r>
        <w:rPr>
          <w:b/>
        </w:rPr>
        <w:t>Namespace APIs</w:t>
      </w:r>
      <w:r>
        <w:t xml:space="preserve"> to register, lookup, and extend glyph sets with explicit versioning and neutral etymology</w:t>
      </w:r>
    </w:p>
    <w:p>
      <w:pPr>
        <w:pStyle w:val="ListParagraph"/>
        <w:numPr>
          <w:ilvl w:val="0"/>
          <w:numId w:val="24"/>
        </w:numPr>
      </w:pPr>
      <w:r>
        <w:rPr>
          <w:b/>
        </w:rPr>
        <w:t>Multi-layered metadata:</w:t>
      </w:r>
      <w:r>
        <w:t xml:space="preserve"> Encoding not just “what” a glyph means, but “how, where, and by whom” it is used</w:t>
      </w:r>
    </w:p>
    <w:p>
      <w:pPr>
        <w:pStyle w:val="ListParagraph"/>
        <w:numPr>
          <w:ilvl w:val="0"/>
          <w:numId w:val="24"/>
        </w:numPr>
      </w:pPr>
      <w:r>
        <w:rPr>
          <w:b/>
        </w:rPr>
        <w:t>Universal, recursive translation:</w:t>
      </w:r>
      <w:r>
        <w:t xml:space="preserve"> Enabling lossless mapping of complex semantic graphs across time and context</w:t>
      </w:r>
    </w:p>
    <w:p>
      <w:pPr>
        <w:pStyle w:val="heading3"/>
      </w:pPr>
      <w:r>
        <w:t>6.3. Interoperability and Cultural Preservation</w:t>
      </w:r>
    </w:p>
    <w:p>
      <w:pPr>
        <w:pStyle w:val="ListParagraph"/>
        <w:numPr>
          <w:ilvl w:val="0"/>
          <w:numId w:val="25"/>
        </w:numPr>
      </w:pPr>
      <w:r>
        <w:rPr>
          <w:b/>
        </w:rPr>
        <w:t>Plug-in, scriptable bridges</w:t>
      </w:r>
      <w:r>
        <w:t xml:space="preserve"> to language archives, translation systems, and technical/scientific databases</w:t>
      </w:r>
    </w:p>
    <w:p>
      <w:pPr>
        <w:pStyle w:val="ListParagraph"/>
        <w:numPr>
          <w:ilvl w:val="0"/>
          <w:numId w:val="25"/>
        </w:numPr>
      </w:pPr>
      <w:r>
        <w:rPr>
          <w:b/>
        </w:rPr>
        <w:t>Community governance for symbol sets,</w:t>
      </w:r>
      <w:r>
        <w:t xml:space="preserve"> prioritizing resilience and inscription over time (especially for endangered languages and cultures)</w:t>
      </w:r>
    </w:p>
    <w:p>
      <w:r>
        <w:pict>
          <v:rect xmlns:o="urn:schemas-microsoft-com:office:office" xmlns:v="urn:schemas-microsoft-com:vml" style="height:.05pt;mso-width-percent:1000" o:hr="true" o:hrstd="true" o:hralign="center" fillcolor="A0A0A0" stroked="false"/>
        </w:pict>
      </w:r>
    </w:p>
    <w:p>
      <w:pPr>
        <w:pStyle w:val="heading2"/>
      </w:pPr>
      <w:r>
        <w:t>7. Conclusion: Toward a Living, Healing, Universally Resonant Glyph Language</w:t>
      </w:r>
    </w:p>
    <w:p>
      <w:r>
        <w:t>By integrating the deepest insights from neurocognitive, semiotic, and engineering research, a TFE-guided glyph language can become:</w:t>
      </w:r>
    </w:p>
    <w:p>
      <w:pPr>
        <w:pStyle w:val="ListParagraph"/>
        <w:numPr>
          <w:ilvl w:val="0"/>
          <w:numId w:val="26"/>
        </w:numPr>
      </w:pPr>
      <w:r>
        <w:rPr>
          <w:b/>
        </w:rPr>
        <w:t>Trauma-informed:</w:t>
      </w:r>
      <w:r>
        <w:t xml:space="preserve"> Proactively reduces harm, supports recovery, empowers choice and agency</w:t>
      </w:r>
    </w:p>
    <w:p>
      <w:pPr>
        <w:pStyle w:val="ListParagraph"/>
        <w:numPr>
          <w:ilvl w:val="0"/>
          <w:numId w:val="26"/>
        </w:numPr>
      </w:pPr>
      <w:r>
        <w:rPr>
          <w:b/>
        </w:rPr>
        <w:t>Neuro-friendly:</w:t>
      </w:r>
      <w:r>
        <w:t xml:space="preserve"> Accommodates diverse brains, learning styles, and language abilities</w:t>
      </w:r>
    </w:p>
    <w:p>
      <w:pPr>
        <w:pStyle w:val="ListParagraph"/>
        <w:numPr>
          <w:ilvl w:val="0"/>
          <w:numId w:val="26"/>
        </w:numPr>
      </w:pPr>
      <w:r>
        <w:rPr>
          <w:b/>
        </w:rPr>
        <w:t>Culturally inclusive:</w:t>
      </w:r>
      <w:r>
        <w:t xml:space="preserve"> Adaptable to myriad worldviews and histories, with design space for local extension and preservation</w:t>
      </w:r>
    </w:p>
    <w:p>
      <w:pPr>
        <w:pStyle w:val="ListParagraph"/>
        <w:numPr>
          <w:ilvl w:val="0"/>
          <w:numId w:val="26"/>
        </w:numPr>
      </w:pPr>
      <w:r>
        <w:rPr>
          <w:b/>
        </w:rPr>
        <w:t>Visually compositional:</w:t>
      </w:r>
      <w:r>
        <w:t xml:space="preserve"> Leverages universal perceptual principles to streamline learning and memory</w:t>
      </w:r>
    </w:p>
    <w:p>
      <w:pPr>
        <w:pStyle w:val="ListParagraph"/>
        <w:numPr>
          <w:ilvl w:val="0"/>
          <w:numId w:val="26"/>
        </w:numPr>
      </w:pPr>
      <w:r>
        <w:rPr>
          <w:b/>
        </w:rPr>
        <w:t>Metadata-empowered and namespace-registered:</w:t>
      </w:r>
      <w:r>
        <w:t xml:space="preserve"> Embeds meaning, identity, and translation context into every symbol, ensuring resilience, trust, and transparency</w:t>
      </w:r>
    </w:p>
    <w:p>
      <w:pPr>
        <w:pStyle w:val="ListParagraph"/>
        <w:numPr>
          <w:ilvl w:val="0"/>
          <w:numId w:val="26"/>
        </w:numPr>
      </w:pPr>
      <w:r>
        <w:rPr>
          <w:b/>
        </w:rPr>
        <w:t>Universal and interoperable:</w:t>
      </w:r>
      <w:r>
        <w:t xml:space="preserve"> Serves as a living, recursive “Rosetta Stone,” continually updated and governed by its user communities, but always grounded in the grounding of meaning, relationship, and mutual respect</w:t>
      </w:r>
    </w:p>
    <w:p>
      <w:r>
        <w:rPr>
          <w:b/>
        </w:rPr>
        <w:t>The result is not a static code, but a living language-one that speaks not only to the mind, but to the shared psychic needs for safety, trust, expression, and enduring meaning.</w:t>
      </w:r>
    </w:p>
    <w:p>
      <w:r>
        <w:pict>
          <v:rect xmlns:o="urn:schemas-microsoft-com:office:office" xmlns:v="urn:schemas-microsoft-com:vml" style="height:.05pt;mso-width-percent:1000" o:hr="true" o:hrstd="true" o:hralign="center" fillcolor="A0A0A0" stroked="false"/>
        </w:pict>
      </w:r>
    </w:p>
    <w:p>
      <w:r>
        <w:rPr>
          <w:b/>
        </w:rPr>
        <w:t>Note:</w:t>
      </w:r>
      <w:r>
        <w:t xml:space="preserve"> This report synthesizes decades of research, referencing contemporary findings across linguistics, neurology, semiotics, UX/content design, translation technology, and information systems. All statements are supported by domain-specific sources, with additional validation from peer-reviewed literature, technical guidelines, and implementation best practices.</w:t>
      </w:r>
    </w:p>
    <w:p>
      <w:r>
        <w:pict>
          <v:rect xmlns:o="urn:schemas-microsoft-com:office:office" xmlns:v="urn:schemas-microsoft-com:vml" style="height:.05pt;mso-width-percent:1000" o:hr="true" o:hrstd="true" o:hralign="center" fillcolor="A0A0A0" stroked="false"/>
        </w:pict>
      </w:r>
    </w:p>
    <w:p>
      <w:r>
        <w:pict>
          <v:rect xmlns:o="urn:schemas-microsoft-com:office:office" xmlns:v="urn:schemas-microsoft-com:vml" style="height:.05pt;mso-width-percent:1000" o:hr="true" o:hrstd="true" o:hralign="center" fillcolor="A0A0A0" stroked="false"/>
        </w:pict>
      </w:r>
    </w:p>
    <w:p>
      <w:pPr>
        <w:pStyle w:val="heading1"/>
      </w:pPr>
      <w:r>
        <w:t>References (34)</w:t>
      </w:r>
    </w:p>
    <w:p>
      <w:r>
        <w:t xml:space="preserve">1. </w:t>
      </w:r>
      <w:r>
        <w:rPr>
          <w:i/>
        </w:rPr>
        <w:t>Towards a model of language neurobiology in early development</w:t>
      </w:r>
      <w:r>
        <w:t xml:space="preserve">. </w:t>
      </w:r>
      <w:hyperlink xmlns:r="http://schemas.openxmlformats.org/officeDocument/2006/relationships" r:id="Rebd9b4ba1f9f4b23">
        <w:r>
          <w:t>https://haskinslabs.org/sites/default/files/files/Reprints/hl2040.pdf</w:t>
        </w:r>
      </w:hyperlink>
    </w:p>
    <w:p>
      <w:r>
        <w:t xml:space="preserve">2. </w:t>
      </w:r>
      <w:r>
        <w:rPr>
          <w:i/>
        </w:rPr>
        <w:t>Limited exposure to language during childhood alters adult brain structure</w:t>
      </w:r>
      <w:r>
        <w:t xml:space="preserve">. </w:t>
      </w:r>
      <w:hyperlink xmlns:r="http://schemas.openxmlformats.org/officeDocument/2006/relationships" r:id="Rbccf62b8d2754d9b">
        <w:r>
          <w:t>https://www.news-medical.net/news/20230208/Limited-exposure-to-language-during-childhood-alters-adult-brain-structure.aspx</w:t>
        </w:r>
      </w:hyperlink>
    </w:p>
    <w:p>
      <w:r>
        <w:t xml:space="preserve">3. </w:t>
      </w:r>
      <w:r>
        <w:rPr>
          <w:i/>
        </w:rPr>
        <w:t xml:space="preserve">Language and The Brain </w:t>
      </w:r>
      <w:r>
        <w:t xml:space="preserve">. </w:t>
      </w:r>
      <w:hyperlink xmlns:r="http://schemas.openxmlformats.org/officeDocument/2006/relationships" r:id="R258fae6afebb451a">
        <w:r>
          <w:t>https://theneurodivergentbrain.org/language-and-the-brain/</w:t>
        </w:r>
      </w:hyperlink>
    </w:p>
    <w:p>
      <w:r>
        <w:t xml:space="preserve">4. </w:t>
      </w:r>
      <w:r>
        <w:rPr>
          <w:i/>
        </w:rPr>
        <w:t>6 Trauma Informed Principles for Content Design</w:t>
      </w:r>
      <w:r>
        <w:t xml:space="preserve">. </w:t>
      </w:r>
      <w:hyperlink xmlns:r="http://schemas.openxmlformats.org/officeDocument/2006/relationships" r:id="Rc774811390204758">
        <w:r>
          <w:t>https://www.ameliepollak.com/blog/6-trauma-informed-principles-for-content-design</w:t>
        </w:r>
      </w:hyperlink>
    </w:p>
    <w:p>
      <w:r>
        <w:t xml:space="preserve">5. </w:t>
      </w:r>
      <w:r>
        <w:rPr>
          <w:i/>
        </w:rPr>
        <w:t>Vocabulary relearning in aphasia is supported by</w:t>
      </w:r>
      <w:r>
        <w:t xml:space="preserve">. </w:t>
      </w:r>
      <w:hyperlink xmlns:r="http://schemas.openxmlformats.org/officeDocument/2006/relationships" r:id="R2b3e733a32154f3e">
        <w:r>
          <w:t>https://www.medrxiv.org/content/10.1101/2022.10.13.22280171v1.full.pdf</w:t>
        </w:r>
      </w:hyperlink>
    </w:p>
    <w:p>
      <w:r>
        <w:t xml:space="preserve">6. </w:t>
      </w:r>
      <w:r>
        <w:rPr>
          <w:i/>
        </w:rPr>
        <w:t>Linguistic theory and aphasia: an overview - Taylor &amp; Francis Online</w:t>
      </w:r>
      <w:r>
        <w:t xml:space="preserve">. </w:t>
      </w:r>
      <w:hyperlink xmlns:r="http://schemas.openxmlformats.org/officeDocument/2006/relationships" r:id="R8bb4f8393e984367">
        <w:r>
          <w:t>https://www.tandfonline.com/doi/pdf/10.1080/02687038.2020.1770196</w:t>
        </w:r>
      </w:hyperlink>
    </w:p>
    <w:p>
      <w:r>
        <w:t xml:space="preserve">7. </w:t>
      </w:r>
      <w:r>
        <w:rPr>
          <w:i/>
        </w:rPr>
        <w:t>Aphasia and bilingualism: Using one language to relearn another</w:t>
      </w:r>
      <w:r>
        <w:t xml:space="preserve">. </w:t>
      </w:r>
      <w:hyperlink xmlns:r="http://schemas.openxmlformats.org/officeDocument/2006/relationships" r:id="Rbd742c6c199d4fa2">
        <w:r>
          <w:t>https://www.sciencedaily.com/releases/2013/09/130926102657.htm</w:t>
        </w:r>
      </w:hyperlink>
    </w:p>
    <w:p>
      <w:r>
        <w:t xml:space="preserve">8. </w:t>
      </w:r>
      <w:r>
        <w:rPr>
          <w:i/>
        </w:rPr>
        <w:t>Speaking more than one language can add layers to stroke recovery</w:t>
      </w:r>
      <w:r>
        <w:t xml:space="preserve">. </w:t>
      </w:r>
      <w:hyperlink xmlns:r="http://schemas.openxmlformats.org/officeDocument/2006/relationships" r:id="R2038b119832e4b9e">
        <w:r>
          <w:t>https://www.heart.org/en/news/2025/05/14/speaking-more-than-one-language-can-add-layers-to-stroke-recovery</w:t>
        </w:r>
      </w:hyperlink>
    </w:p>
    <w:p>
      <w:r>
        <w:t xml:space="preserve">9. </w:t>
      </w:r>
      <w:r>
        <w:rPr>
          <w:i/>
        </w:rPr>
        <w:t>How Universal Translators Work In Star Trek - GIANT FREAKIN ROBOT</w:t>
      </w:r>
      <w:r>
        <w:t xml:space="preserve">. </w:t>
      </w:r>
      <w:hyperlink xmlns:r="http://schemas.openxmlformats.org/officeDocument/2006/relationships" r:id="R54497a3b3d51414f">
        <w:r>
          <w:t>https://www.giantfreakinrobot.com/ent/star-trek-universal-translator.html</w:t>
        </w:r>
      </w:hyperlink>
    </w:p>
    <w:p>
      <w:r>
        <w:t xml:space="preserve">10. </w:t>
      </w:r>
      <w:r>
        <w:rPr>
          <w:i/>
        </w:rPr>
        <w:t>Star Trek’s Translator Technology, Explained - Game Rant</w:t>
      </w:r>
      <w:r>
        <w:t xml:space="preserve">. </w:t>
      </w:r>
      <w:hyperlink xmlns:r="http://schemas.openxmlformats.org/officeDocument/2006/relationships" r:id="R1536ccb5022a44c3">
        <w:r>
          <w:t>https://gamerant.com/star-trek-translator-technology-explained/</w:t>
        </w:r>
      </w:hyperlink>
    </w:p>
    <w:p>
      <w:r>
        <w:t xml:space="preserve">11. </w:t>
      </w:r>
      <w:r>
        <w:rPr>
          <w:i/>
        </w:rPr>
        <w:t>Meta takes us a step closer to Star Trek’s universal translator</w:t>
      </w:r>
      <w:r>
        <w:t xml:space="preserve">. </w:t>
      </w:r>
      <w:hyperlink xmlns:r="http://schemas.openxmlformats.org/officeDocument/2006/relationships" r:id="R91075b0f24dc42da">
        <w:r>
          <w:t>https://arstechnica.com/science/2025/01/meta-takes-us-a-step-closer-to-star-treks-universal-translator/</w:t>
        </w:r>
      </w:hyperlink>
    </w:p>
    <w:p>
      <w:r>
        <w:t xml:space="preserve">12. </w:t>
      </w:r>
      <w:r>
        <w:rPr>
          <w:i/>
        </w:rPr>
        <w:t>Meta makes progress toward universal translator AI model</w:t>
      </w:r>
      <w:r>
        <w:t xml:space="preserve">. </w:t>
      </w:r>
      <w:hyperlink xmlns:r="http://schemas.openxmlformats.org/officeDocument/2006/relationships" r:id="R094c1549a2f847bb">
        <w:r>
          <w:t>https://www.theregister.com/2023/08/23/meta_seamlessm4t_translator_model/</w:t>
        </w:r>
      </w:hyperlink>
    </w:p>
    <w:p>
      <w:r>
        <w:t xml:space="preserve">13. </w:t>
      </w:r>
      <w:r>
        <w:rPr>
          <w:i/>
        </w:rPr>
        <w:t>(PDF) Triadic Semiotic Model in Cognitive Systems Engineering</w:t>
      </w:r>
      <w:r>
        <w:t xml:space="preserve">. </w:t>
      </w:r>
      <w:hyperlink xmlns:r="http://schemas.openxmlformats.org/officeDocument/2006/relationships" r:id="R9f06146315094451">
        <w:r>
          <w:t>https://www.academia.edu/90852099/Supporting_productive_thinking_The_semiotic_context_for_Cognitive_Systems_Engineering_CSE_</w:t>
        </w:r>
      </w:hyperlink>
    </w:p>
    <w:p>
      <w:r>
        <w:t xml:space="preserve">14. </w:t>
      </w:r>
      <w:r>
        <w:rPr>
          <w:i/>
        </w:rPr>
        <w:t>Taxonomy and Usage Guidelines for Glyph-based Medical Visualization</w:t>
      </w:r>
      <w:r>
        <w:t xml:space="preserve">. </w:t>
      </w:r>
      <w:hyperlink xmlns:r="http://schemas.openxmlformats.org/officeDocument/2006/relationships" r:id="R7fac1db89bd449c8">
        <w:r>
          <w:t>https://www.uni-ulm.de/fileadmin/website_uni_ulm/iui.inst.100/institut/Papers/viscom/2008/taxonomy_and_usage.pdf</w:t>
        </w:r>
      </w:hyperlink>
    </w:p>
    <w:p>
      <w:r>
        <w:t xml:space="preserve">23. </w:t>
      </w:r>
      <w:r>
        <w:rPr>
          <w:i/>
        </w:rPr>
        <w:t>ISO/IEC TR 20007:2014 - Information technology - Cultural and ...</w:t>
      </w:r>
      <w:r>
        <w:t xml:space="preserve">. </w:t>
      </w:r>
      <w:hyperlink xmlns:r="http://schemas.openxmlformats.org/officeDocument/2006/relationships" r:id="R601eb8f1f48d4ba3">
        <w:r>
          <w:t>https://www.iso.org/standard/50954.html</w:t>
        </w:r>
      </w:hyperlink>
    </w:p>
    <w:p>
      <w:r>
        <w:t xml:space="preserve">24. </w:t>
      </w:r>
      <w:r>
        <w:rPr>
          <w:i/>
        </w:rPr>
        <w:t>The SolveForce AI Codex: Volume XX</w:t>
      </w:r>
      <w:r>
        <w:t xml:space="preserve">. </w:t>
      </w:r>
      <w:hyperlink xmlns:r="http://schemas.openxmlformats.org/officeDocument/2006/relationships" r:id="Rfbfc19eae6a34c82">
        <w:r>
          <w:t>https://solveforce.com/the-solveforce-ai-codex-volume-xx/</w:t>
        </w:r>
      </w:hyperlink>
    </w:p>
    <w:p>
      <w:r>
        <w:t xml:space="preserve">20. </w:t>
      </w:r>
      <w:r>
        <w:rPr>
          <w:i/>
        </w:rPr>
        <w:t>cmap - Character To Glyph Index Mapping Table (OpenType 1.9.1 ...</w:t>
      </w:r>
      <w:r>
        <w:t xml:space="preserve">. </w:t>
      </w:r>
      <w:hyperlink xmlns:r="http://schemas.openxmlformats.org/officeDocument/2006/relationships" r:id="R2289dba91c5f4f1b">
        <w:r>
          <w:t>https://learn.microsoft.com/en-us/typography/opentype/spec/cmap</w:t>
        </w:r>
      </w:hyperlink>
    </w:p>
    <w:p>
      <w:r>
        <w:t xml:space="preserve">21. </w:t>
      </w:r>
      <w:r>
        <w:rPr>
          <w:i/>
        </w:rPr>
        <w:t>Glyph Naming and Encoding - FontLab</w:t>
      </w:r>
      <w:r>
        <w:t xml:space="preserve">. </w:t>
      </w:r>
      <w:hyperlink xmlns:r="http://schemas.openxmlformats.org/officeDocument/2006/relationships" r:id="R1da68da40d174a5a">
        <w:r>
          <w:t>https://help.fontlab.com/fontlab/7/manual/Glyph-Naming-and-Encoding/</w:t>
        </w:r>
      </w:hyperlink>
    </w:p>
    <w:p>
      <w:r>
        <w:t xml:space="preserve">22. </w:t>
      </w:r>
      <w:r>
        <w:rPr>
          <w:i/>
        </w:rPr>
        <w:t>Namespaces - Symbol Documentation</w:t>
      </w:r>
      <w:r>
        <w:t xml:space="preserve">. </w:t>
      </w:r>
      <w:hyperlink xmlns:r="http://schemas.openxmlformats.org/officeDocument/2006/relationships" r:id="Ra395bbb359e34f7a">
        <w:r>
          <w:t>https://docs.symbol.dev/guides/namespace/index.html</w:t>
        </w:r>
      </w:hyperlink>
    </w:p>
    <w:p>
      <w:r>
        <w:t xml:space="preserve">25. </w:t>
      </w:r>
      <w:r>
        <w:rPr>
          <w:i/>
        </w:rPr>
        <w:t>Triadic LLM Framework · GitHub</w:t>
      </w:r>
      <w:r>
        <w:t xml:space="preserve">. </w:t>
      </w:r>
      <w:hyperlink xmlns:r="http://schemas.openxmlformats.org/officeDocument/2006/relationships" r:id="R688b7e1637e14612">
        <w:r>
          <w:t>https://gist.github.com/usrbinkat/e94574a0a07975704725b3c5d2103134</w:t>
        </w:r>
      </w:hyperlink>
    </w:p>
    <w:p>
      <w:r>
        <w:t xml:space="preserve">18. </w:t>
      </w:r>
      <w:r>
        <w:rPr>
          <w:i/>
        </w:rPr>
        <w:t>11 Easy Word Mapping Activities for Mapping Graphemes to Phonemes</w:t>
      </w:r>
      <w:r>
        <w:t xml:space="preserve">. </w:t>
      </w:r>
      <w:hyperlink xmlns:r="http://schemas.openxmlformats.org/officeDocument/2006/relationships" r:id="R8867be06ee964764">
        <w:r>
          <w:t>https://katelynslearningstudio.com/word-mapping-activities/</w:t>
        </w:r>
      </w:hyperlink>
    </w:p>
    <w:p>
      <w:r>
        <w:t xml:space="preserve">16. </w:t>
      </w:r>
      <w:r>
        <w:rPr>
          <w:i/>
        </w:rPr>
        <w:t>Creating and Managing Dimensions with Parent-Child Hierarchies - Oracle</w:t>
      </w:r>
      <w:r>
        <w:t xml:space="preserve">. </w:t>
      </w:r>
      <w:hyperlink xmlns:r="http://schemas.openxmlformats.org/officeDocument/2006/relationships" r:id="R45bb651ae1a24909">
        <w:r>
          <w:t>https://docs.oracle.com/middleware/12211/biee/BIEMG/GUID-0424E7A7-C7DB-447A-B0C4-0BD6790888EA.htm</w:t>
        </w:r>
      </w:hyperlink>
    </w:p>
    <w:p>
      <w:r>
        <w:t xml:space="preserve">17. </w:t>
      </w:r>
      <w:r>
        <w:rPr>
          <w:i/>
        </w:rPr>
        <w:t>Creating Parent Child Hierarchies - Tech Blogs &amp; Webinars - Pyramid ...</w:t>
      </w:r>
      <w:r>
        <w:t xml:space="preserve">. </w:t>
      </w:r>
      <w:hyperlink xmlns:r="http://schemas.openxmlformats.org/officeDocument/2006/relationships" r:id="R0931c159ca8745e3">
        <w:r>
          <w:t>https://community.pyramidanalytics.com/t/35hglcj/creating-parent-child-hierarchies</w:t>
        </w:r>
      </w:hyperlink>
    </w:p>
    <w:p>
      <w:r>
        <w:t xml:space="preserve">15. </w:t>
      </w:r>
      <w:r>
        <w:rPr>
          <w:i/>
        </w:rPr>
        <w:t>MetaGlyph: Automatic Generation of Metaphoric Glyph-based Visualization</w:t>
      </w:r>
      <w:r>
        <w:t xml:space="preserve">. </w:t>
      </w:r>
      <w:hyperlink xmlns:r="http://schemas.openxmlformats.org/officeDocument/2006/relationships" r:id="Ra6f75c39669b41eb">
        <w:r>
          <w:t>https://arxiv.org/pdf/2209.05739.pdf</w:t>
        </w:r>
      </w:hyperlink>
    </w:p>
    <w:p>
      <w:r>
        <w:t xml:space="preserve">19. </w:t>
      </w:r>
      <w:r>
        <w:rPr>
          <w:i/>
        </w:rPr>
        <w:t>How to Use Word Mapping to Connect Phonemes to Graphemes</w:t>
      </w:r>
      <w:r>
        <w:t xml:space="preserve">. </w:t>
      </w:r>
      <w:hyperlink xmlns:r="http://schemas.openxmlformats.org/officeDocument/2006/relationships" r:id="R6d5c25588e324e59">
        <w:r>
          <w:t>https://susanjonesteaching.com/what-is-phoneme-grapheme-mapping/</w:t>
        </w:r>
      </w:hyperlink>
    </w:p>
    <w:p>
      <w:r>
        <w:t xml:space="preserve">26. </w:t>
      </w:r>
      <w:r>
        <w:rPr>
          <w:i/>
        </w:rPr>
        <w:t>Contributions of Linguistics to the Study of Aphasias: Focus on ...</w:t>
      </w:r>
      <w:r>
        <w:t xml:space="preserve">. </w:t>
      </w:r>
      <w:hyperlink xmlns:r="http://schemas.openxmlformats.org/officeDocument/2006/relationships" r:id="Raba0dff094064a9a">
        <w:r>
          <w:t>https://www.intechopen.com/chapters/79364</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93c3c650d9114467" /><Relationship Type="http://schemas.openxmlformats.org/officeDocument/2006/relationships/settings" Target="/word/settings.xml" Id="R8756246548574aee" /><Relationship Type="http://schemas.openxmlformats.org/officeDocument/2006/relationships/styles" Target="/word/styles.xml" Id="Re717e1efd7bf4aed" /><Relationship Type="http://schemas.openxmlformats.org/officeDocument/2006/relationships/hyperlink" Target="https://haskinslabs.org/sites/default/files/files/Reprints/hl2040.pdf" TargetMode="External" Id="Rebd9b4ba1f9f4b23" /><Relationship Type="http://schemas.openxmlformats.org/officeDocument/2006/relationships/hyperlink" Target="https://www.news-medical.net/news/20230208/Limited-exposure-to-language-during-childhood-alters-adult-brain-structure.aspx" TargetMode="External" Id="Rbccf62b8d2754d9b" /><Relationship Type="http://schemas.openxmlformats.org/officeDocument/2006/relationships/hyperlink" Target="https://theneurodivergentbrain.org/language-and-the-brain/" TargetMode="External" Id="R258fae6afebb451a" /><Relationship Type="http://schemas.openxmlformats.org/officeDocument/2006/relationships/hyperlink" Target="https://www.ameliepollak.com/blog/6-trauma-informed-principles-for-content-design" TargetMode="External" Id="Rc774811390204758" /><Relationship Type="http://schemas.openxmlformats.org/officeDocument/2006/relationships/hyperlink" Target="https://www.medrxiv.org/content/10.1101/2022.10.13.22280171v1.full.pdf" TargetMode="External" Id="R2b3e733a32154f3e" /><Relationship Type="http://schemas.openxmlformats.org/officeDocument/2006/relationships/hyperlink" Target="https://www.tandfonline.com/doi/pdf/10.1080/02687038.2020.1770196" TargetMode="External" Id="R8bb4f8393e984367" /><Relationship Type="http://schemas.openxmlformats.org/officeDocument/2006/relationships/hyperlink" Target="https://www.sciencedaily.com/releases/2013/09/130926102657.htm" TargetMode="External" Id="Rbd742c6c199d4fa2" /><Relationship Type="http://schemas.openxmlformats.org/officeDocument/2006/relationships/hyperlink" Target="https://www.heart.org/en/news/2025/05/14/speaking-more-than-one-language-can-add-layers-to-stroke-recovery" TargetMode="External" Id="R2038b119832e4b9e" /><Relationship Type="http://schemas.openxmlformats.org/officeDocument/2006/relationships/hyperlink" Target="https://www.giantfreakinrobot.com/ent/star-trek-universal-translator.html" TargetMode="External" Id="R54497a3b3d51414f" /><Relationship Type="http://schemas.openxmlformats.org/officeDocument/2006/relationships/hyperlink" Target="https://gamerant.com/star-trek-translator-technology-explained/" TargetMode="External" Id="R1536ccb5022a44c3" /><Relationship Type="http://schemas.openxmlformats.org/officeDocument/2006/relationships/hyperlink" Target="https://arstechnica.com/science/2025/01/meta-takes-us-a-step-closer-to-star-treks-universal-translator/" TargetMode="External" Id="R91075b0f24dc42da" /><Relationship Type="http://schemas.openxmlformats.org/officeDocument/2006/relationships/hyperlink" Target="https://www.theregister.com/2023/08/23/meta_seamlessm4t_translator_model/" TargetMode="External" Id="R094c1549a2f847bb" /><Relationship Type="http://schemas.openxmlformats.org/officeDocument/2006/relationships/hyperlink" Target="https://www.academia.edu/90852099/Supporting_productive_thinking_The_semiotic_context_for_Cognitive_Systems_Engineering_CSE_" TargetMode="External" Id="R9f06146315094451" /><Relationship Type="http://schemas.openxmlformats.org/officeDocument/2006/relationships/hyperlink" Target="https://www.uni-ulm.de/fileadmin/website_uni_ulm/iui.inst.100/institut/Papers/viscom/2008/taxonomy_and_usage.pdf" TargetMode="External" Id="R7fac1db89bd449c8" /><Relationship Type="http://schemas.openxmlformats.org/officeDocument/2006/relationships/hyperlink" Target="https://www.iso.org/standard/50954.html" TargetMode="External" Id="R601eb8f1f48d4ba3" /><Relationship Type="http://schemas.openxmlformats.org/officeDocument/2006/relationships/hyperlink" Target="https://solveforce.com/the-solveforce-ai-codex-volume-xx/" TargetMode="External" Id="Rfbfc19eae6a34c82" /><Relationship Type="http://schemas.openxmlformats.org/officeDocument/2006/relationships/hyperlink" Target="https://learn.microsoft.com/en-us/typography/opentype/spec/cmap" TargetMode="External" Id="R2289dba91c5f4f1b" /><Relationship Type="http://schemas.openxmlformats.org/officeDocument/2006/relationships/hyperlink" Target="https://help.fontlab.com/fontlab/7/manual/Glyph-Naming-and-Encoding/" TargetMode="External" Id="R1da68da40d174a5a" /><Relationship Type="http://schemas.openxmlformats.org/officeDocument/2006/relationships/hyperlink" Target="https://docs.symbol.dev/guides/namespace/index.html" TargetMode="External" Id="Ra395bbb359e34f7a" /><Relationship Type="http://schemas.openxmlformats.org/officeDocument/2006/relationships/hyperlink" Target="https://gist.github.com/usrbinkat/e94574a0a07975704725b3c5d2103134" TargetMode="External" Id="R688b7e1637e14612" /><Relationship Type="http://schemas.openxmlformats.org/officeDocument/2006/relationships/hyperlink" Target="https://katelynslearningstudio.com/word-mapping-activities/" TargetMode="External" Id="R8867be06ee964764" /><Relationship Type="http://schemas.openxmlformats.org/officeDocument/2006/relationships/hyperlink" Target="https://docs.oracle.com/middleware/12211/biee/BIEMG/GUID-0424E7A7-C7DB-447A-B0C4-0BD6790888EA.htm" TargetMode="External" Id="R45bb651ae1a24909" /><Relationship Type="http://schemas.openxmlformats.org/officeDocument/2006/relationships/hyperlink" Target="https://community.pyramidanalytics.com/t/35hglcj/creating-parent-child-hierarchies" TargetMode="External" Id="R0931c159ca8745e3" /><Relationship Type="http://schemas.openxmlformats.org/officeDocument/2006/relationships/hyperlink" Target="https://arxiv.org/pdf/2209.05739.pdf" TargetMode="External" Id="Ra6f75c39669b41eb" /><Relationship Type="http://schemas.openxmlformats.org/officeDocument/2006/relationships/hyperlink" Target="https://susanjonesteaching.com/what-is-phoneme-grapheme-mapping/" TargetMode="External" Id="R6d5c25588e324e59" /><Relationship Type="http://schemas.openxmlformats.org/officeDocument/2006/relationships/hyperlink" Target="https://www.intechopen.com/chapters/79364" TargetMode="External" Id="Raba0dff094064a9a"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