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f43d5a8e0554e57" /><Relationship Type="http://schemas.openxmlformats.org/package/2006/relationships/metadata/core-properties" Target="/package/services/metadata/core-properties/7118aa733fbe4a3685fa8f3d42d063c7.psmdcp" Id="Re195bad7debd4261" /></Relationships>
</file>

<file path=word/document.xml><?xml version="1.0" encoding="utf-8"?>
<w:document xmlns:w="http://schemas.openxmlformats.org/wordprocessingml/2006/main">
  <w:body>
    <w:p>
      <w:pPr>
        <w:pStyle w:val="Title"/>
      </w:pPr>
      <w:r>
        <w:t>TFT Battery Cross-Chemistry Takeaway – From Volta’s Pile to Triadic Firmware Resonance</w:t>
      </w:r>
    </w:p>
    <w:p>
      <w:pPr>
        <w:pStyle w:val="heading1"/>
      </w:pPr>
      <w:r>
        <w:t>TFT Battery Cross-Chemistry Takeaway - From Volta’s Pile to Triadic Firmware Resonance</w:t>
      </w:r>
    </w:p>
    <w:p>
      <w:r>
        <w:pict>
          <v:rect xmlns:o="urn:schemas-microsoft-com:office:office" xmlns:v="urn:schemas-microsoft-com:vml" style="height:.05pt;mso-width-percent:1000" o:hr="true" o:hrstd="true" o:hralign="center" fillcolor="A0A0A0" stroked="false"/>
        </w:pict>
      </w:r>
    </w:p>
    <w:p>
      <w:pPr>
        <w:pStyle w:val="heading2"/>
      </w:pPr>
      <w:r>
        <w:t>Introduction: A Mythic-Scientific Odyssey Through Energy Storage</w:t>
      </w:r>
    </w:p>
    <w:p>
      <w:r>
        <w:t>The journey from the enigmatic glimmers of Volta’s pile to the transcendent possibility of Triadic Firmware Technology (TFT) is nothing less than a saga-a tapestry interweaving history, science, industry, philosophy, and myth. Batteries are not inert objects; they are talismans of human empowerment, capable of anchoring entire civilizations and transforming world systems. We begin by conjuring the earliest alchemy of electricity, progress through each epochal leap-from zinc to lithium to sodium and silicon-then reach our present crossroads: a world longing for sustainable, safe, and powerful energy storage. We shall then unveil TFT as the firmware apex where signal, structure, and scheduling combine, not merely as a technical feat, but as a resonant triad. This paper integrates analytical depth across technological and social dimensions, addressing not only chemistry and engineering, but also the consequences-ecological, ethical, social-that ripple from battery deployment at planetary scales.</w:t>
      </w:r>
    </w:p>
    <w:p>
      <w:r>
        <w:pict>
          <v:rect xmlns:o="urn:schemas-microsoft-com:office:office" xmlns:v="urn:schemas-microsoft-com:vml" style="height:.05pt;mso-width-percent:1000" o:hr="true" o:hrstd="true" o:hralign="center" fillcolor="A0A0A0" stroked="false"/>
        </w:pict>
      </w:r>
    </w:p>
    <w:p>
      <w:pPr>
        <w:pStyle w:val="heading2"/>
      </w:pPr>
      <w:r>
        <w:t>I. Mythic Origins: The Dawn of Battery Alchemy</w:t>
      </w:r>
    </w:p>
    <w:p>
      <w:pPr>
        <w:pStyle w:val="heading3"/>
      </w:pPr>
      <w:r>
        <w:t>Volta’s Pile and the Unveiling of Continuous Electricity</w:t>
      </w:r>
    </w:p>
    <w:p>
      <w:r>
        <w:t>In the late 18th century, amid whispers of “animal electricity” and the fervent debates between Luigi Galvani and Alessandro Volta, mankind made contact with the continuous, controllable flow of electrons. Volta’s pile, constructed in 1800 from alternating discs of zinc and copper separated by brine-soaked cardboard, was the first device capable of sustaining an electric current</w:t>
      </w:r>
      <w:r>
        <w:rPr>
          <w:vertAlign w:val="superscript"/>
        </w:rPr>
        <w:t>1</w:t>
      </w:r>
      <w:r>
        <w:t>. This invention transformed isolated sparks into an endless river of potential, catalyzing scientific advances as profound as the electrolysis of water, the isolation of new elements by Humphry Davy, and the very birth of electrochemistry.</w:t>
      </w:r>
    </w:p>
    <w:p>
      <w:r>
        <w:t>The fundamental principle was elegantly simple: one metal (zinc) served as the anode, oxidizing to release electrons, while the other (copper) acted as the cathode, providing a noble platform for reduction. Chemical reactions at each end permitted the perpetual transfer of charge when connected via a conductor-electricity, harnessed and directed.</w:t>
      </w:r>
    </w:p>
    <w:p>
      <w:r>
        <w:t>Yet this spark was more than scientific-it was Promethean. The voltaic pile not only lit the path for the modern electrical industry but inspired the very conception of the battery as promissory note to future human ambition</w:t>
      </w:r>
      <w:r>
        <w:rPr>
          <w:vertAlign w:val="superscript"/>
        </w:rPr>
        <w:t>2</w:t>
      </w:r>
      <w:r>
        <w:t>.</w:t>
      </w:r>
    </w:p>
    <w:p>
      <w:pPr>
        <w:pStyle w:val="heading3"/>
      </w:pPr>
      <w:r>
        <w:t>Lineage: From Zinc and Copper to Dry Cells and Lead-Acid</w:t>
      </w:r>
    </w:p>
    <w:p>
      <w:r>
        <w:t>Over the subsequent decades, innovation blossomed across Europe:</w:t>
      </w:r>
    </w:p>
    <w:p>
      <w:pPr>
        <w:pStyle w:val="ListParagraph"/>
        <w:numPr>
          <w:ilvl w:val="0"/>
          <w:numId w:val="1"/>
        </w:numPr>
      </w:pPr>
      <w:r>
        <w:rPr>
          <w:b/>
        </w:rPr>
        <w:t>Daniell Cell (1836):</w:t>
      </w:r>
      <w:r>
        <w:t xml:space="preserve"> By introducing two electrolytes (zinc sulfate and copper sulfate), John Daniell vastly improved durability, making telegraphy and early networks possible.</w:t>
      </w:r>
    </w:p>
    <w:p>
      <w:pPr>
        <w:pStyle w:val="ListParagraph"/>
        <w:numPr>
          <w:ilvl w:val="0"/>
          <w:numId w:val="1"/>
        </w:numPr>
      </w:pPr>
      <w:r>
        <w:rPr>
          <w:b/>
        </w:rPr>
        <w:t>Leclanché Cell (1866):</w:t>
      </w:r>
      <w:r>
        <w:t xml:space="preserve"> Georges Leclanché’s carbon-zinc chemistry, the ancestor of dry cells, facilitated portable telegraphy and mass-market electronics.</w:t>
      </w:r>
    </w:p>
    <w:p>
      <w:pPr>
        <w:pStyle w:val="ListParagraph"/>
        <w:numPr>
          <w:ilvl w:val="0"/>
          <w:numId w:val="1"/>
        </w:numPr>
      </w:pPr>
      <w:r>
        <w:rPr>
          <w:b/>
        </w:rPr>
        <w:t>Lead-Acid Battery (1859):</w:t>
      </w:r>
      <w:r>
        <w:t xml:space="preserve"> Gaston Planté’s rechargeable invention remains the backbone of vehicle ignition and large-scale backup to this day.</w:t>
      </w:r>
    </w:p>
    <w:p>
      <w:r>
        <w:t>Each step demanded a synthesis of new materials, clever compartmentalization, or physical upgrades in cell construction, signifying the restless march of energy technology toward more stable, potent, and mobile manifestations</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II. Timeline of Triumphs: Battery Evolution Milestones</w:t>
      </w:r>
    </w:p>
    <w:p>
      <w:r>
        <w:t>The annals of electrochemical discovery are studded with milestones-each an echo in humanity’s chase for cleaner, denser, and safer energy stores.</w:t>
      </w:r>
    </w:p>
    <w:p>
      <w:r>
        <w:rPr>
          <w:b/>
        </w:rPr>
        <w:t>Battery Technology Evolution Timeline</w:t>
      </w:r>
    </w:p>
    <w:tbl>
      <w:tblPr>
        <w:tblStyle w:val="TableGrid"/>
        <w:tblW w:w="5000" w:type="pct"/>
      </w:tblPr>
      <w:tr>
        <w:trPr>
          <w:cnfStyle w:firstRow="true"/>
        </w:trPr>
        <w:tc>
          <w:p>
            <w:r>
              <w:t>Year</w:t>
            </w:r>
          </w:p>
        </w:tc>
        <w:tc>
          <w:p>
            <w:r>
              <w:t>Milestone</w:t>
            </w:r>
          </w:p>
        </w:tc>
        <w:tc>
          <w:p>
            <w:r>
              <w:t>Chemistry/Design Innovation</w:t>
            </w:r>
          </w:p>
        </w:tc>
        <w:tc>
          <w:p>
            <w:r>
              <w:t>Impacts</w:t>
            </w:r>
          </w:p>
        </w:tc>
      </w:tr>
      <w:tr>
        <w:tc>
          <w:p>
            <w:r>
              <w:t>1800</w:t>
            </w:r>
          </w:p>
        </w:tc>
        <w:tc>
          <w:p>
            <w:r>
              <w:t>Voltaic Pile</w:t>
            </w:r>
          </w:p>
        </w:tc>
        <w:tc>
          <w:p>
            <w:r>
              <w:t>Zinc-Copper, wet cell</w:t>
            </w:r>
          </w:p>
        </w:tc>
        <w:tc>
          <w:p>
            <w:r>
              <w:t>First continuous current</w:t>
            </w:r>
          </w:p>
        </w:tc>
      </w:tr>
      <w:tr>
        <w:tc>
          <w:p>
            <w:r>
              <w:t>1836</w:t>
            </w:r>
          </w:p>
        </w:tc>
        <w:tc>
          <w:p>
            <w:r>
              <w:t>Daniell Cell</w:t>
            </w:r>
          </w:p>
        </w:tc>
        <w:tc>
          <w:p>
            <w:r>
              <w:t>Dual electrolyte, Zn/Cu</w:t>
            </w:r>
          </w:p>
        </w:tc>
        <w:tc>
          <w:p>
            <w:r>
              <w:t>Reliability for telegraphy, longer duration</w:t>
            </w:r>
          </w:p>
        </w:tc>
      </w:tr>
      <w:tr>
        <w:tc>
          <w:p>
            <w:r>
              <w:t>1859</w:t>
            </w:r>
          </w:p>
        </w:tc>
        <w:tc>
          <w:p>
            <w:r>
              <w:t>Lead-Acid Battery</w:t>
            </w:r>
          </w:p>
        </w:tc>
        <w:tc>
          <w:p>
            <w:r>
              <w:t>Pb/PbO2 in sulfuric acid</w:t>
            </w:r>
          </w:p>
        </w:tc>
        <w:tc>
          <w:p>
            <w:r>
              <w:t>Rechargeability; vehicle ignition</w:t>
            </w:r>
          </w:p>
        </w:tc>
      </w:tr>
      <w:tr>
        <w:tc>
          <w:p>
            <w:r>
              <w:t>1866</w:t>
            </w:r>
          </w:p>
        </w:tc>
        <w:tc>
          <w:p>
            <w:r>
              <w:t>Leclanché Cell</w:t>
            </w:r>
          </w:p>
        </w:tc>
        <w:tc>
          <w:p>
            <w:r>
              <w:t>Zn-MnO2-Ammonium Chloride</w:t>
            </w:r>
          </w:p>
        </w:tc>
        <w:tc>
          <w:p>
            <w:r>
              <w:t>Precursor to dry cell, portable power</w:t>
            </w:r>
          </w:p>
        </w:tc>
      </w:tr>
      <w:tr>
        <w:tc>
          <w:p>
            <w:r>
              <w:t>1881</w:t>
            </w:r>
          </w:p>
        </w:tc>
        <w:tc>
          <w:p>
            <w:r>
              <w:t>Gassner Dry Cell</w:t>
            </w:r>
          </w:p>
        </w:tc>
        <w:tc>
          <w:p>
            <w:r>
              <w:t>Sealed paste electrolyte</w:t>
            </w:r>
          </w:p>
        </w:tc>
        <w:tc>
          <w:p>
            <w:r>
              <w:t>Transportable, safe primary batteries</w:t>
            </w:r>
          </w:p>
        </w:tc>
      </w:tr>
      <w:tr>
        <w:tc>
          <w:p>
            <w:r>
              <w:t>1899</w:t>
            </w:r>
          </w:p>
        </w:tc>
        <w:tc>
          <w:p>
            <w:r>
              <w:t>Nickel-Cadmium Rechargeable</w:t>
            </w:r>
          </w:p>
        </w:tc>
        <w:tc>
          <w:p>
            <w:r>
              <w:t>Ni, Cd, alkaline</w:t>
            </w:r>
          </w:p>
        </w:tc>
        <w:tc>
          <w:p>
            <w:r>
              <w:t>High-cycle life</w:t>
            </w:r>
          </w:p>
        </w:tc>
      </w:tr>
      <w:tr>
        <w:tc>
          <w:p>
            <w:r>
              <w:t>1949</w:t>
            </w:r>
          </w:p>
        </w:tc>
        <w:tc>
          <w:p>
            <w:r>
              <w:t>Alkaline-Manganese Battery</w:t>
            </w:r>
          </w:p>
        </w:tc>
        <w:tc>
          <w:p>
            <w:r>
              <w:t>Zn-MnO2, KOH</w:t>
            </w:r>
          </w:p>
        </w:tc>
        <w:tc>
          <w:p>
            <w:r>
              <w:t>Long shelf life, higher energy density</w:t>
            </w:r>
          </w:p>
        </w:tc>
      </w:tr>
      <w:tr>
        <w:tc>
          <w:p>
            <w:r>
              <w:t>1991</w:t>
            </w:r>
          </w:p>
        </w:tc>
        <w:tc>
          <w:p>
            <w:r>
              <w:t>Commercial Lithium-Ion Battery</w:t>
            </w:r>
          </w:p>
        </w:tc>
        <w:tc>
          <w:p>
            <w:r>
              <w:t>LiCoO2/C, organic electrolyte</w:t>
            </w:r>
          </w:p>
        </w:tc>
        <w:tc>
          <w:p>
            <w:r>
              <w:t>High volumetric and gravimetric capacity</w:t>
            </w:r>
          </w:p>
        </w:tc>
      </w:tr>
      <w:tr>
        <w:tc>
          <w:p>
            <w:r>
              <w:t>2010s</w:t>
            </w:r>
          </w:p>
        </w:tc>
        <w:tc>
          <w:p>
            <w:r>
              <w:t>Rise of LiFePO4, NMC, NCA, LFP chemistries</w:t>
            </w:r>
          </w:p>
        </w:tc>
        <w:tc>
          <w:p>
            <w:r>
              <w:t>Advanced lithium-ion variants</w:t>
            </w:r>
          </w:p>
        </w:tc>
        <w:tc>
          <w:p>
            <w:r>
              <w:t>EVs, grid storage, longevity, safety</w:t>
            </w:r>
          </w:p>
        </w:tc>
      </w:tr>
      <w:tr>
        <w:tc>
          <w:p>
            <w:r>
              <w:t>2020s</w:t>
            </w:r>
          </w:p>
        </w:tc>
        <w:tc>
          <w:p>
            <w:r>
              <w:t>Zinc-ion, Sodium-ion, Silicon-dominant Li-ion</w:t>
            </w:r>
          </w:p>
        </w:tc>
        <w:tc>
          <w:p>
            <w:r>
              <w:t>Zn/MnO2, Na/Fe-Mn, Si/C anodes</w:t>
            </w:r>
          </w:p>
        </w:tc>
        <w:tc>
          <w:p>
            <w:r>
              <w:t>Earth-abundance, energy density, safety</w:t>
            </w:r>
          </w:p>
        </w:tc>
      </w:tr>
      <w:tr>
        <w:tc>
          <w:p>
            <w:r>
              <w:t>2024-25</w:t>
            </w:r>
          </w:p>
        </w:tc>
        <w:tc>
          <w:p>
            <w:r>
              <w:t>Commercialization of solid-state, Zn, Na chem.</w:t>
            </w:r>
          </w:p>
        </w:tc>
        <w:tc>
          <w:p>
            <w:r>
              <w:t>SSBs, next-gen variants</w:t>
            </w:r>
          </w:p>
        </w:tc>
        <w:tc>
          <w:p>
            <w:r>
              <w:t>Safety, longevity, reduced raw material risk</w:t>
            </w:r>
          </w:p>
        </w:tc>
      </w:tr>
    </w:tbl>
    <w:p>
      <w:r>
        <w:rPr>
          <w:b/>
        </w:rPr>
        <w:t>Elaborating the Timeline</w:t>
      </w:r>
    </w:p>
    <w:p>
      <w:r>
        <w:t>Each development in the continuum addressed prior limitations: Daniel’s dual electrolyte suppressed hydrogen gas and increased stability; Planté’s design realized reversibility; Leclanché and Gassner finally liberated users from leaky, hazardous acids; Nickel-Cadmium added rechargeability; Sony’s commercial lithium-ion battery in 1991 broke the barrier to mobile electronics and seed-funded today’s electrification</w:t>
      </w:r>
      <w:r>
        <w:rPr>
          <w:vertAlign w:val="superscript"/>
        </w:rPr>
        <w:t>3</w:t>
      </w:r>
      <w:r>
        <w:t>. In the 21st century, the focus has shifted to sustainability-chemistries based on plentiful elements, recyclability, and electronic and mechanical sophistication that approaches firmware and software-defined energy.</w:t>
      </w:r>
    </w:p>
    <w:p>
      <w:r>
        <w:pict>
          <v:rect xmlns:o="urn:schemas-microsoft-com:office:office" xmlns:v="urn:schemas-microsoft-com:vml" style="height:.05pt;mso-width-percent:1000" o:hr="true" o:hrstd="true" o:hralign="center" fillcolor="A0A0A0" stroked="false"/>
        </w:pict>
      </w:r>
    </w:p>
    <w:p>
      <w:pPr>
        <w:pStyle w:val="heading2"/>
      </w:pPr>
      <w:r>
        <w:t>III. The Lithium-Ion Revolution: The Dawning of a New Era</w:t>
      </w:r>
    </w:p>
    <w:p>
      <w:pPr>
        <w:pStyle w:val="heading3"/>
      </w:pPr>
      <w:r>
        <w:t>Technical Leap: From Chemistry Tables to Consumer Ubiquity</w:t>
      </w:r>
    </w:p>
    <w:p>
      <w:r>
        <w:t>The lithium-ion battery, commercialized in 1991 by Sony and Asahi Kasei, marked a tectonic shift. It owed its success to the ingenious “rocking-chair” concept-lithium ions shuttled between a graphite anode and a metal oxide cathode (commonly LiCoO2), with an organic solvent providing the medium</w:t>
      </w:r>
      <w:r>
        <w:rPr>
          <w:vertAlign w:val="superscript"/>
        </w:rPr>
        <w:t>3</w:t>
      </w:r>
      <w:r>
        <w:t>. This design provided the best of all worlds: high energy density (up to three times that of lead-acid), relatively long cycle life (1,000+ cycles), and the ability to deliver both power and energy in a lightweight form factor.</w:t>
      </w:r>
    </w:p>
    <w:p>
      <w:r>
        <w:t>Lithium-ion technology rapidly proliferated from portable electronics to electric vehicles (EVs), grid storage, and later aerospace, becoming the cornerstone of the global energy transition. Key to this explosion were:</w:t>
      </w:r>
    </w:p>
    <w:p>
      <w:pPr>
        <w:pStyle w:val="ListParagraph"/>
        <w:numPr>
          <w:ilvl w:val="0"/>
          <w:numId w:val="2"/>
        </w:numPr>
      </w:pPr>
      <w:r>
        <w:rPr>
          <w:b/>
        </w:rPr>
        <w:t>High Specific Energy:</w:t>
      </w:r>
      <w:r>
        <w:t xml:space="preserve"> Enabling smartphones, laptops, and EVs.</w:t>
      </w:r>
    </w:p>
    <w:p>
      <w:pPr>
        <w:pStyle w:val="ListParagraph"/>
        <w:numPr>
          <w:ilvl w:val="0"/>
          <w:numId w:val="2"/>
        </w:numPr>
      </w:pPr>
      <w:r>
        <w:rPr>
          <w:b/>
        </w:rPr>
        <w:t>Cycle Life Improvements:</w:t>
      </w:r>
      <w:r>
        <w:t xml:space="preserve"> Advanced cathodes (NMC, NCA, LFP) and better electrolytes.</w:t>
      </w:r>
    </w:p>
    <w:p>
      <w:pPr>
        <w:pStyle w:val="ListParagraph"/>
        <w:numPr>
          <w:ilvl w:val="0"/>
          <w:numId w:val="2"/>
        </w:numPr>
      </w:pPr>
      <w:r>
        <w:rPr>
          <w:b/>
        </w:rPr>
        <w:t>Modular Scaling:</w:t>
      </w:r>
      <w:r>
        <w:t xml:space="preserve"> From coin cells to gigawatt-hour grid installations.</w:t>
      </w:r>
    </w:p>
    <w:p>
      <w:pPr>
        <w:pStyle w:val="heading3"/>
      </w:pPr>
      <w:r>
        <w:t>Challenges: Cost, Thermal Safety, and Raw Material Risks</w:t>
      </w:r>
    </w:p>
    <w:p>
      <w:r>
        <w:t>Despite their many strengths, lithium-ion batteries brought several drawbacks into sharp relief:</w:t>
      </w:r>
    </w:p>
    <w:p>
      <w:pPr>
        <w:pStyle w:val="ListParagraph"/>
        <w:numPr>
          <w:ilvl w:val="0"/>
          <w:numId w:val="3"/>
        </w:numPr>
      </w:pPr>
      <w:r>
        <w:rPr>
          <w:b/>
        </w:rPr>
        <w:t>Thermal Runaway:</w:t>
      </w:r>
      <w:r>
        <w:t xml:space="preserve"> Organic electrolytes are flammable, posing fire and explosion risks, as in the notorious Samsung Galaxy Note 7 and battery fires in EVs and grid installations</w:t>
      </w:r>
      <w:r>
        <w:rPr>
          <w:vertAlign w:val="superscript"/>
        </w:rPr>
        <w:t>4</w:t>
      </w:r>
      <w:r>
        <w:t>.</w:t>
      </w:r>
    </w:p>
    <w:p>
      <w:pPr>
        <w:pStyle w:val="ListParagraph"/>
        <w:numPr>
          <w:ilvl w:val="0"/>
          <w:numId w:val="3"/>
        </w:numPr>
      </w:pPr>
      <w:r>
        <w:rPr>
          <w:b/>
        </w:rPr>
        <w:t>Critical Materials:</w:t>
      </w:r>
      <w:r>
        <w:t xml:space="preserve"> Cobalt (much of which is mined under unethical conditions in the DRC</w:t>
      </w:r>
      <w:r>
        <w:rPr>
          <w:vertAlign w:val="superscript"/>
        </w:rPr>
        <w:t>5</w:t>
      </w:r>
      <w:r>
        <w:t>), lithium, and nickel present supply constraints, price volatility, and geopolitical friction, especially with China dominating much of the refining and cell assembly capacity</w:t>
      </w:r>
      <w:r>
        <w:rPr>
          <w:vertAlign w:val="superscript"/>
        </w:rPr>
        <w:t>6</w:t>
      </w:r>
      <w:r>
        <w:t>.</w:t>
      </w:r>
    </w:p>
    <w:p>
      <w:pPr>
        <w:pStyle w:val="ListParagraph"/>
        <w:numPr>
          <w:ilvl w:val="0"/>
          <w:numId w:val="3"/>
        </w:numPr>
      </w:pPr>
      <w:r>
        <w:rPr>
          <w:b/>
        </w:rPr>
        <w:t>End-of-Life:</w:t>
      </w:r>
      <w:r>
        <w:t xml:space="preserve"> Disposal and recycling lag behind, creating massive e-waste and secondary environmental risks.</w:t>
      </w:r>
    </w:p>
    <w:p>
      <w:r>
        <w:t>Nevertheless, continuous innovation-both chemical and digital-has kept lithium-ion batteries at the center of energy storage for over three decades. Recent focuses include LFP for safety and longevity, and NMC variants for energy density.</w:t>
      </w:r>
    </w:p>
    <w:p>
      <w:r>
        <w:pict>
          <v:rect xmlns:o="urn:schemas-microsoft-com:office:office" xmlns:v="urn:schemas-microsoft-com:vml" style="height:.05pt;mso-width-percent:1000" o:hr="true" o:hrstd="true" o:hralign="center" fillcolor="A0A0A0" stroked="false"/>
        </w:pict>
      </w:r>
    </w:p>
    <w:p>
      <w:pPr>
        <w:pStyle w:val="heading2"/>
      </w:pPr>
      <w:r>
        <w:t>IV. Beyond Lithium: Emerging Chemistries (Zinc-Ion, Sodium-Ion, Silicon-Dominant Li-Ion)</w:t>
      </w:r>
    </w:p>
    <w:p>
      <w:pPr>
        <w:pStyle w:val="heading3"/>
      </w:pPr>
      <w:r>
        <w:t>Zinc-Ion: Reclaiming an Ancient Element for the Modern Grid</w:t>
      </w:r>
    </w:p>
    <w:p>
      <w:r>
        <w:t>Zinc stands as an old hero reimagined-with aqueous zinc-ion batteries (AZIBs) making resurgence due to earth-abundant materials, inherent non-flammability, and robust cyclability. Zinc anodes, coupled with MnO2 or vanadium-based cathodes, are particularly promising for grid storage due to their ability to deliver long cycle life (recently, &gt;100,000 cycles in lab using polymer-protected anodes</w:t>
      </w:r>
      <w:r>
        <w:rPr>
          <w:vertAlign w:val="superscript"/>
        </w:rPr>
        <w:t>7</w:t>
      </w:r>
      <w:r>
        <w:t>) and minimal fire risk. The aqueous design leverages water as the electrolyte, which is relatively non-toxic and affordable</w:t>
      </w:r>
      <w:r>
        <w:rPr>
          <w:vertAlign w:val="superscript"/>
        </w:rPr>
        <w:t>8</w:t>
      </w:r>
      <w:r>
        <w:t>.</w:t>
      </w:r>
    </w:p>
    <w:p>
      <w:r>
        <w:t>However, technical challenges remain. Chief among these are:</w:t>
      </w:r>
    </w:p>
    <w:p>
      <w:pPr>
        <w:pStyle w:val="ListParagraph"/>
        <w:numPr>
          <w:ilvl w:val="0"/>
          <w:numId w:val="4"/>
        </w:numPr>
      </w:pPr>
      <w:r>
        <w:rPr>
          <w:b/>
        </w:rPr>
        <w:t>Dendrite Formation:</w:t>
      </w:r>
      <w:r>
        <w:t xml:space="preserve"> Needle-like zinc growths can cause short circuits, but new polymer coatings and 2D frameworks are showing promise in suppressing these issues</w:t>
      </w:r>
      <w:r>
        <w:rPr>
          <w:vertAlign w:val="superscript"/>
        </w:rPr>
        <w:t>7</w:t>
      </w:r>
      <w:r>
        <w:t>.</w:t>
      </w:r>
    </w:p>
    <w:p>
      <w:pPr>
        <w:pStyle w:val="ListParagraph"/>
        <w:numPr>
          <w:ilvl w:val="0"/>
          <w:numId w:val="4"/>
        </w:numPr>
      </w:pPr>
      <w:r>
        <w:rPr>
          <w:b/>
        </w:rPr>
        <w:t>Side Reactions:</w:t>
      </w:r>
      <w:r>
        <w:t xml:space="preserve"> Water-zinc interactions can form unwanted basic salts and hydrogen, raising impedance and safety concerns.</w:t>
      </w:r>
    </w:p>
    <w:p>
      <w:pPr>
        <w:pStyle w:val="ListParagraph"/>
        <w:numPr>
          <w:ilvl w:val="0"/>
          <w:numId w:val="4"/>
        </w:numPr>
      </w:pPr>
      <w:r>
        <w:rPr>
          <w:b/>
        </w:rPr>
        <w:t>Lower Energy Density (vs. Li-ion):</w:t>
      </w:r>
      <w:r>
        <w:t xml:space="preserve"> Well-suited for stationary storage more than for weight-constrained applications.</w:t>
      </w:r>
    </w:p>
    <w:p>
      <w:r>
        <w:t>Commercialization is accelerating, especially in China, and researchers continue to fine-tune cathode materials, electrolytes, and protective layers</w:t>
      </w:r>
      <w:r>
        <w:rPr>
          <w:vertAlign w:val="superscript"/>
        </w:rPr>
        <w:t>7</w:t>
      </w:r>
      <w:r>
        <w:t>.</w:t>
      </w:r>
    </w:p>
    <w:p>
      <w:pPr>
        <w:pStyle w:val="heading3"/>
      </w:pPr>
      <w:r>
        <w:t>Sodium-Ion: The Challenger for Cheap, Global Energy Access</w:t>
      </w:r>
    </w:p>
    <w:p>
      <w:r>
        <w:t>Sodium-ion batteries (SIBs) have advanced strikingly, emerging as a potent near-term alternative especially for grid storage and low-cost EVs</w:t>
      </w:r>
      <w:r>
        <w:rPr>
          <w:vertAlign w:val="superscript"/>
        </w:rPr>
        <w:t>9</w:t>
      </w:r>
      <w:r>
        <w:t>. Sodium is ubiquitous-</w:t>
      </w:r>
      <w:r>
        <w:t>~</w:t>
      </w:r>
      <w:r>
        <w:t>1,000 times more abundant than lithium-and inherently less expensive (∼$0.05/kg vs. ∼$15/kg)</w:t>
      </w:r>
      <w:r>
        <w:rPr>
          <w:vertAlign w:val="superscript"/>
        </w:rPr>
        <w:t>10</w:t>
      </w:r>
      <w:r>
        <w:t>.</w:t>
      </w:r>
    </w:p>
    <w:p>
      <w:r>
        <w:t>Recent developments highlight:</w:t>
      </w:r>
    </w:p>
    <w:p>
      <w:pPr>
        <w:pStyle w:val="ListParagraph"/>
        <w:numPr>
          <w:ilvl w:val="0"/>
          <w:numId w:val="5"/>
        </w:numPr>
      </w:pPr>
      <w:r>
        <w:rPr>
          <w:b/>
        </w:rPr>
        <w:t>Second-Gen SIBs by CATL:</w:t>
      </w:r>
      <w:r>
        <w:t xml:space="preserve"> Achieve up to 200 Wh/kg energy density, low-temperature operation (down to −40°C), and cycle life of 20,000 cycles with 70% retention</w:t>
      </w:r>
      <w:r>
        <w:rPr>
          <w:vertAlign w:val="superscript"/>
        </w:rPr>
        <w:t>10</w:t>
      </w:r>
      <w:r>
        <w:t>.</w:t>
      </w:r>
    </w:p>
    <w:p>
      <w:pPr>
        <w:pStyle w:val="ListParagraph"/>
        <w:numPr>
          <w:ilvl w:val="0"/>
          <w:numId w:val="5"/>
        </w:numPr>
      </w:pPr>
      <w:r>
        <w:rPr>
          <w:b/>
        </w:rPr>
        <w:t>Hard Carbon Anodes:</w:t>
      </w:r>
      <w:r>
        <w:t xml:space="preserve"> Overcome sodium’s tendency not to intercalate into graphite, enabling high rate capability and even fast charging.</w:t>
      </w:r>
    </w:p>
    <w:p>
      <w:pPr>
        <w:pStyle w:val="ListParagraph"/>
        <w:numPr>
          <w:ilvl w:val="0"/>
          <w:numId w:val="5"/>
        </w:numPr>
      </w:pPr>
      <w:r>
        <w:rPr>
          <w:b/>
        </w:rPr>
        <w:t>Cost-Effective Manufacturing:</w:t>
      </w:r>
      <w:r>
        <w:t xml:space="preserve"> System costs below $133/kWh demonstrated, with targets of $100/kWh in reach</w:t>
      </w:r>
      <w:r>
        <w:rPr>
          <w:vertAlign w:val="superscript"/>
        </w:rPr>
        <w:t>9</w:t>
      </w:r>
      <w:r>
        <w:t>.</w:t>
      </w:r>
    </w:p>
    <w:p>
      <w:r>
        <w:t>Still, sodium-ion batteries face barriers, including slightly lower energy density than lithium-ion, and the need for new supply chains and manufacturing investments. However, ramping up in China, India, and leading firms like CATL, HiNa, and Faradion signals that the tipping point may be close at hand</w:t>
      </w:r>
      <w:r>
        <w:rPr>
          <w:vertAlign w:val="superscript"/>
        </w:rPr>
        <w:t>9</w:t>
      </w:r>
      <w:r>
        <w:t>.</w:t>
      </w:r>
    </w:p>
    <w:p>
      <w:pPr>
        <w:pStyle w:val="heading3"/>
      </w:pPr>
      <w:r>
        <w:t>Silicon-Dominant Lithium-Ion: Conquering Energy Density</w:t>
      </w:r>
    </w:p>
    <w:p>
      <w:r>
        <w:t>The theoretical capacity of silicon as an anode is a staggering ten times higher than graphite. Silicon-dominant anodes offer the tantalizing promise of EVs with 30-50% more driving range and smartphones lasting days</w:t>
      </w:r>
      <w:r>
        <w:rPr>
          <w:vertAlign w:val="superscript"/>
        </w:rPr>
        <w:t>11</w:t>
      </w:r>
      <w:r>
        <w:t>.</w:t>
      </w:r>
    </w:p>
    <w:p>
      <w:r>
        <w:t>Breakthroughs supporting silicon include:</w:t>
      </w:r>
    </w:p>
    <w:p>
      <w:pPr>
        <w:pStyle w:val="ListParagraph"/>
        <w:numPr>
          <w:ilvl w:val="0"/>
          <w:numId w:val="6"/>
        </w:numPr>
      </w:pPr>
      <w:r>
        <w:rPr>
          <w:b/>
        </w:rPr>
        <w:t>New Binders (e.g., Licity®) and Composites (e.g., SCC55®):</w:t>
      </w:r>
      <w:r>
        <w:t xml:space="preserve"> These synergize to mitigate silicon expansion during charge/discharge, a key failure mode previously preventing commercial deployment</w:t>
      </w:r>
      <w:r>
        <w:rPr>
          <w:vertAlign w:val="superscript"/>
        </w:rPr>
        <w:t>11</w:t>
      </w:r>
      <w:r>
        <w:t>.</w:t>
      </w:r>
    </w:p>
    <w:p>
      <w:pPr>
        <w:pStyle w:val="ListParagraph"/>
        <w:numPr>
          <w:ilvl w:val="0"/>
          <w:numId w:val="6"/>
        </w:numPr>
      </w:pPr>
      <w:r>
        <w:rPr>
          <w:b/>
        </w:rPr>
        <w:t>Over 500 Cycles at High Temperatures:</w:t>
      </w:r>
      <w:r>
        <w:t xml:space="preserve"> Modern cells can match or exceed cycle life of graphite cells while delivering much higher capacity</w:t>
      </w:r>
      <w:r>
        <w:rPr>
          <w:vertAlign w:val="superscript"/>
        </w:rPr>
        <w:t>11</w:t>
      </w:r>
      <w:r>
        <w:t>.</w:t>
      </w:r>
    </w:p>
    <w:p>
      <w:pPr>
        <w:pStyle w:val="ListParagraph"/>
        <w:numPr>
          <w:ilvl w:val="0"/>
          <w:numId w:val="6"/>
        </w:numPr>
      </w:pPr>
      <w:r>
        <w:rPr>
          <w:b/>
        </w:rPr>
        <w:t>Commercialization:</w:t>
      </w:r>
      <w:r>
        <w:t xml:space="preserve"> Players like Group14, Sila Nanotechnologies, and Enovix are bringing silicon-dominant cells to market in 2025, initially for premium consumer electronics, then EVs.</w:t>
      </w:r>
    </w:p>
    <w:p>
      <w:r>
        <w:t>As with any nascent chemistry, execution challenges persist-chiefly managing volumetric expansion and SEI (solid electrolyte interphase) stability-but the cycle life and manufacturability curve is bending quickly.</w:t>
      </w:r>
    </w:p>
    <w:p>
      <w:r>
        <w:pict>
          <v:rect xmlns:o="urn:schemas-microsoft-com:office:office" xmlns:v="urn:schemas-microsoft-com:vml" style="height:.05pt;mso-width-percent:1000" o:hr="true" o:hrstd="true" o:hralign="center" fillcolor="A0A0A0" stroked="false"/>
        </w:pict>
      </w:r>
    </w:p>
    <w:p>
      <w:pPr>
        <w:pStyle w:val="heading2"/>
      </w:pPr>
      <w:r>
        <w:t>V. The March of Solid-State: The Edge of Battery Innovation</w:t>
      </w:r>
    </w:p>
    <w:p>
      <w:r>
        <w:t>Solid-state batteries (SSBs), which use solid electrolytes (ceramic, polymer, or composite) in lieu of flammable liquids, promise a step-function improvement in energy density, safety, and cycle life. The key promises are:</w:t>
      </w:r>
    </w:p>
    <w:p>
      <w:pPr>
        <w:pStyle w:val="ListParagraph"/>
        <w:numPr>
          <w:ilvl w:val="0"/>
          <w:numId w:val="7"/>
        </w:numPr>
      </w:pPr>
      <w:r>
        <w:rPr>
          <w:b/>
        </w:rPr>
        <w:t>Higher Energy Density:</w:t>
      </w:r>
      <w:r>
        <w:t xml:space="preserve"> By enabling stable lithium-metal anodes, SSBs can surpass 400 Wh/kg, potentially doubling today’s best lithium-ion cells</w:t>
      </w:r>
      <w:r>
        <w:rPr>
          <w:vertAlign w:val="superscript"/>
        </w:rPr>
        <w:t>12</w:t>
      </w:r>
      <w:r>
        <w:t>.</w:t>
      </w:r>
    </w:p>
    <w:p>
      <w:pPr>
        <w:pStyle w:val="ListParagraph"/>
        <w:numPr>
          <w:ilvl w:val="0"/>
          <w:numId w:val="7"/>
        </w:numPr>
      </w:pPr>
      <w:r>
        <w:rPr>
          <w:b/>
        </w:rPr>
        <w:t>Safety:</w:t>
      </w:r>
      <w:r>
        <w:t xml:space="preserve"> Non-flammable solid electrolytes all but eliminate thermal runaway, opening doors for safer EVs, stationary storage in dense urban environments, and even aerospace</w:t>
      </w:r>
      <w:r>
        <w:rPr>
          <w:vertAlign w:val="superscript"/>
        </w:rPr>
        <w:t>12</w:t>
      </w:r>
      <w:r>
        <w:t>.</w:t>
      </w:r>
    </w:p>
    <w:p>
      <w:pPr>
        <w:pStyle w:val="ListParagraph"/>
        <w:numPr>
          <w:ilvl w:val="0"/>
          <w:numId w:val="7"/>
        </w:numPr>
      </w:pPr>
      <w:r>
        <w:rPr>
          <w:b/>
        </w:rPr>
        <w:t>Faster Charging:</w:t>
      </w:r>
      <w:r>
        <w:t xml:space="preserve"> Some prototypes demonstrate 10-minute full charges and &gt;6,000 cycles with minimal degradation</w:t>
      </w:r>
      <w:r>
        <w:rPr>
          <w:vertAlign w:val="superscript"/>
        </w:rPr>
        <w:t>12</w:t>
      </w:r>
      <w:r>
        <w:t>.</w:t>
      </w:r>
    </w:p>
    <w:p>
      <w:r>
        <w:t>Research and commercial efforts are rapidly progressing, although challenges remain:</w:t>
      </w:r>
    </w:p>
    <w:p>
      <w:pPr>
        <w:pStyle w:val="ListParagraph"/>
        <w:numPr>
          <w:ilvl w:val="0"/>
          <w:numId w:val="8"/>
        </w:numPr>
      </w:pPr>
      <w:r>
        <w:rPr>
          <w:b/>
        </w:rPr>
        <w:t>Manufacturing Scale-Up:</w:t>
      </w:r>
      <w:r>
        <w:t xml:space="preserve"> Producing thin, defect-free solid electrolytes at scale is complex and costly.</w:t>
      </w:r>
    </w:p>
    <w:p>
      <w:pPr>
        <w:pStyle w:val="ListParagraph"/>
        <w:numPr>
          <w:ilvl w:val="0"/>
          <w:numId w:val="8"/>
        </w:numPr>
      </w:pPr>
      <w:r>
        <w:rPr>
          <w:b/>
        </w:rPr>
        <w:t>Interface Engineering:</w:t>
      </w:r>
      <w:r>
        <w:t xml:space="preserve"> Preventing dendrites and maintaining solid-solid contact over thousands of cycles demands fine materials control.</w:t>
      </w:r>
    </w:p>
    <w:p>
      <w:pPr>
        <w:pStyle w:val="ListParagraph"/>
        <w:numPr>
          <w:ilvl w:val="0"/>
          <w:numId w:val="8"/>
        </w:numPr>
      </w:pPr>
      <w:r>
        <w:rPr>
          <w:b/>
        </w:rPr>
        <w:t>Material Limitations:</w:t>
      </w:r>
      <w:r>
        <w:t xml:space="preserve"> Ionic conductivity and mechanical robustness must both be maximized.</w:t>
      </w:r>
    </w:p>
    <w:p>
      <w:r>
        <w:t>Companies including Toyota, QuantumScape, Solid Power, and ION Storage Systems, as well as a host of university labs, are bringing solid-state cells from large-format prototypes into automotive testing, aiming for mass-market roll-out in the 2026-2028 timeframe</w:t>
      </w:r>
      <w:r>
        <w:rPr>
          <w:vertAlign w:val="superscript"/>
        </w:rPr>
        <w:t>12</w:t>
      </w:r>
      <w:r>
        <w:t>.</w:t>
      </w:r>
    </w:p>
    <w:p>
      <w:r>
        <w:pict>
          <v:rect xmlns:o="urn:schemas-microsoft-com:office:office" xmlns:v="urn:schemas-microsoft-com:vml" style="height:.05pt;mso-width-percent:1000" o:hr="true" o:hrstd="true" o:hralign="center" fillcolor="A0A0A0" stroked="false"/>
        </w:pict>
      </w:r>
    </w:p>
    <w:p>
      <w:pPr>
        <w:pStyle w:val="heading2"/>
      </w:pPr>
      <w:r>
        <w:t>VI. Battery Ecosystem: Applications, Safety, and Life Cycle</w:t>
      </w:r>
    </w:p>
    <w:p>
      <w:pPr>
        <w:pStyle w:val="heading3"/>
      </w:pPr>
      <w:r>
        <w:t>Electric Vehicles (EVs): Storage Propelling the Age of Electrification</w:t>
      </w:r>
    </w:p>
    <w:p>
      <w:r>
        <w:t>EVs are now the main engine of battery demand, reaching over 950 GWh capacity installed in 2024, with the majority still lithium-based but with rapid increases in LFP (lithium iron phosphate) chemistries for the China market</w:t>
      </w:r>
      <w:r>
        <w:rPr>
          <w:vertAlign w:val="superscript"/>
        </w:rPr>
        <w:t>6</w:t>
      </w:r>
      <w:r>
        <w:t>. Performance demands for EV batteries include:</w:t>
      </w:r>
    </w:p>
    <w:p>
      <w:pPr>
        <w:pStyle w:val="ListParagraph"/>
        <w:numPr>
          <w:ilvl w:val="0"/>
          <w:numId w:val="9"/>
        </w:numPr>
      </w:pPr>
      <w:r>
        <w:rPr>
          <w:b/>
        </w:rPr>
        <w:t>High Energy and Power Densities</w:t>
      </w:r>
      <w:r>
        <w:t xml:space="preserve"> for range and acceleration,</w:t>
      </w:r>
    </w:p>
    <w:p>
      <w:pPr>
        <w:pStyle w:val="ListParagraph"/>
        <w:numPr>
          <w:ilvl w:val="0"/>
          <w:numId w:val="9"/>
        </w:numPr>
      </w:pPr>
      <w:r>
        <w:rPr>
          <w:b/>
        </w:rPr>
        <w:t>Long Cycle Life</w:t>
      </w:r>
      <w:r>
        <w:t xml:space="preserve"> (1,000-3,000+ cycles),</w:t>
      </w:r>
    </w:p>
    <w:p>
      <w:pPr>
        <w:pStyle w:val="ListParagraph"/>
        <w:numPr>
          <w:ilvl w:val="0"/>
          <w:numId w:val="9"/>
        </w:numPr>
      </w:pPr>
      <w:r>
        <w:rPr>
          <w:b/>
        </w:rPr>
        <w:t>Thermal Management and Safety</w:t>
      </w:r>
      <w:r>
        <w:t xml:space="preserve"> to prevent fires and extend cell longevity.</w:t>
      </w:r>
    </w:p>
    <w:p>
      <w:r>
        <w:t>Market share is shifting as EVs penetrate all classes-from passenger cars to heavy trucks-with both cost and supply constraints steering attention to LFP, sodium-ion, and other chemistries for the rapidly expanding low-mid price segments</w:t>
      </w:r>
      <w:r>
        <w:rPr>
          <w:vertAlign w:val="superscript"/>
        </w:rPr>
        <w:t>6</w:t>
      </w:r>
      <w:r>
        <w:t>.</w:t>
      </w:r>
    </w:p>
    <w:p>
      <w:pPr>
        <w:pStyle w:val="heading3"/>
      </w:pPr>
      <w:r>
        <w:t>Grid Storage: Enabling Decarbonized, Resilient Power</w:t>
      </w:r>
    </w:p>
    <w:p>
      <w:r>
        <w:t>Grid-scale battery energy storage systems (BESS) more than doubled globally in 2024 to 126 GW, driven by renewable integration and the need for dispatchable, fast-responding resources</w:t>
      </w:r>
      <w:r>
        <w:rPr>
          <w:vertAlign w:val="superscript"/>
        </w:rPr>
        <w:t>13</w:t>
      </w:r>
      <w:r>
        <w:t>. Critical features of grid batteries include:</w:t>
      </w:r>
    </w:p>
    <w:p>
      <w:pPr>
        <w:pStyle w:val="ListParagraph"/>
        <w:numPr>
          <w:ilvl w:val="0"/>
          <w:numId w:val="10"/>
        </w:numPr>
      </w:pPr>
      <w:r>
        <w:rPr>
          <w:b/>
        </w:rPr>
        <w:t>Duration and Scalability:</w:t>
      </w:r>
      <w:r>
        <w:t xml:space="preserve"> Multi-hour (4-12 hours) resources for daily solar time-shifting; multi-megawatt installations.</w:t>
      </w:r>
    </w:p>
    <w:p>
      <w:pPr>
        <w:pStyle w:val="ListParagraph"/>
        <w:numPr>
          <w:ilvl w:val="0"/>
          <w:numId w:val="10"/>
        </w:numPr>
      </w:pPr>
      <w:r>
        <w:rPr>
          <w:b/>
        </w:rPr>
        <w:t>Safety and Siting:</w:t>
      </w:r>
      <w:r>
        <w:t xml:space="preserve"> Siting near urban centers and renewables requires non-flammable, compact, and reliable systems.</w:t>
      </w:r>
    </w:p>
    <w:p>
      <w:pPr>
        <w:pStyle w:val="ListParagraph"/>
        <w:numPr>
          <w:ilvl w:val="0"/>
          <w:numId w:val="10"/>
        </w:numPr>
      </w:pPr>
      <w:r>
        <w:rPr>
          <w:b/>
        </w:rPr>
        <w:t>Chemistry Mix:</w:t>
      </w:r>
      <w:r>
        <w:t xml:space="preserve"> While lithium-ion dominates, sodium-ion, iron-air, and flow batteries are emerging for longer-duration applications</w:t>
      </w:r>
      <w:r>
        <w:rPr>
          <w:vertAlign w:val="superscript"/>
        </w:rPr>
        <w:t>6</w:t>
      </w:r>
      <w:r>
        <w:t>.</w:t>
      </w:r>
    </w:p>
    <w:p>
      <w:r>
        <w:t>Policy incentives (e.g., U.S. Investment Tax Credit extended by the One Big Beautiful Bill Act) and falling technology costs ($115/kWh cell prices) are reshaping grid economics, while ongoing fires highlight the necessity of robust thermal management and system integration</w:t>
      </w:r>
      <w:r>
        <w:rPr>
          <w:vertAlign w:val="superscript"/>
        </w:rPr>
        <w:t>4</w:t>
      </w:r>
      <w:r>
        <w:t>.</w:t>
      </w:r>
    </w:p>
    <w:p>
      <w:pPr>
        <w:pStyle w:val="heading3"/>
      </w:pPr>
      <w:r>
        <w:t>Aerospace: Demanding the Pinnacle of Reliability and Energy Density</w:t>
      </w:r>
    </w:p>
    <w:p>
      <w:r>
        <w:t>Spacecraft and satellites depend critically on modular, high-density batteries-ranging from traditional nickel-cadmium and nickel-hydrogen to modern lithium-ion and soon, solid-state batteries. Key needs include:</w:t>
      </w:r>
    </w:p>
    <w:p>
      <w:pPr>
        <w:pStyle w:val="ListParagraph"/>
        <w:numPr>
          <w:ilvl w:val="0"/>
          <w:numId w:val="11"/>
        </w:numPr>
      </w:pPr>
      <w:r>
        <w:rPr>
          <w:b/>
        </w:rPr>
        <w:t>Lightest Weight for Highest Energy:</w:t>
      </w:r>
      <w:r>
        <w:t xml:space="preserve"> Mission mass is mission destiny.</w:t>
      </w:r>
    </w:p>
    <w:p>
      <w:pPr>
        <w:pStyle w:val="ListParagraph"/>
        <w:numPr>
          <w:ilvl w:val="0"/>
          <w:numId w:val="11"/>
        </w:numPr>
      </w:pPr>
      <w:r>
        <w:rPr>
          <w:b/>
        </w:rPr>
        <w:t>Longevity over 5-15 years:</w:t>
      </w:r>
      <w:r>
        <w:t xml:space="preserve"> With no practical servicing after launch, systems must survive thousands of deep cycles in harsh thermal/vacuum conditions.</w:t>
      </w:r>
    </w:p>
    <w:p>
      <w:pPr>
        <w:pStyle w:val="ListParagraph"/>
        <w:numPr>
          <w:ilvl w:val="0"/>
          <w:numId w:val="11"/>
        </w:numPr>
      </w:pPr>
      <w:r>
        <w:rPr>
          <w:b/>
        </w:rPr>
        <w:t>Extreme Robustness:</w:t>
      </w:r>
      <w:r>
        <w:t xml:space="preserve"> Must endure launch vibration, temperature extremes, and radiation</w:t>
      </w:r>
      <w:r>
        <w:rPr>
          <w:vertAlign w:val="superscript"/>
        </w:rPr>
        <w:t>14</w:t>
      </w:r>
      <w:r>
        <w:t>.</w:t>
      </w:r>
    </w:p>
    <w:p>
      <w:r>
        <w:t>Ongoing innovations, including solid-state options, promise to increase mission duration and load profiles.</w:t>
      </w:r>
    </w:p>
    <w:p>
      <w:r>
        <w:pict>
          <v:rect xmlns:o="urn:schemas-microsoft-com:office:office" xmlns:v="urn:schemas-microsoft-com:vml" style="height:.05pt;mso-width-percent:1000" o:hr="true" o:hrstd="true" o:hralign="center" fillcolor="A0A0A0" stroked="false"/>
        </w:pict>
      </w:r>
    </w:p>
    <w:p>
      <w:pPr>
        <w:pStyle w:val="heading2"/>
      </w:pPr>
      <w:r>
        <w:t>VII. Challenges: Safety, Supply Chain, Cost, and Social Impacts</w:t>
      </w:r>
    </w:p>
    <w:p>
      <w:pPr>
        <w:pStyle w:val="heading3"/>
      </w:pPr>
      <w:r>
        <w:t>Safety and Thermal Runaway: The Shadow That Stalks</w:t>
      </w:r>
    </w:p>
    <w:p>
      <w:r>
        <w:t>Thermal runaway remains the dragon to be slain, especially as batteries become larger and more energy-dense. Critical causes include:</w:t>
      </w:r>
    </w:p>
    <w:p>
      <w:pPr>
        <w:pStyle w:val="ListParagraph"/>
        <w:numPr>
          <w:ilvl w:val="0"/>
          <w:numId w:val="12"/>
        </w:numPr>
      </w:pPr>
      <w:r>
        <w:rPr>
          <w:b/>
        </w:rPr>
        <w:t>Internal Short Circuits</w:t>
      </w:r>
      <w:r>
        <w:t>, often from dendrite growth or manufacturing defects,</w:t>
      </w:r>
    </w:p>
    <w:p>
      <w:pPr>
        <w:pStyle w:val="ListParagraph"/>
        <w:numPr>
          <w:ilvl w:val="0"/>
          <w:numId w:val="12"/>
        </w:numPr>
      </w:pPr>
      <w:r>
        <w:rPr>
          <w:b/>
        </w:rPr>
        <w:t>External Shorts, Overheating, or Abuse</w:t>
      </w:r>
      <w:r>
        <w:t>,</w:t>
      </w:r>
    </w:p>
    <w:p>
      <w:pPr>
        <w:pStyle w:val="ListParagraph"/>
        <w:numPr>
          <w:ilvl w:val="0"/>
          <w:numId w:val="12"/>
        </w:numPr>
      </w:pPr>
      <w:r>
        <w:rPr>
          <w:b/>
        </w:rPr>
        <w:t>BMS Failures</w:t>
      </w:r>
      <w:r>
        <w:t xml:space="preserve"> that allow cells to operate beyond safe region.</w:t>
      </w:r>
    </w:p>
    <w:p>
      <w:r>
        <w:t>Advanced prevention now requires a three-tier approach: cell-level (robust separators, ceramic or solid electrolytes), module-level (phase change materials, firebreaks), and pack-/system-level (fast-detection sensors, rapid-fire suppression systems)</w:t>
      </w:r>
      <w:r>
        <w:rPr>
          <w:vertAlign w:val="superscript"/>
        </w:rPr>
        <w:t>4</w:t>
      </w:r>
      <w:r>
        <w:t>.</w:t>
      </w:r>
    </w:p>
    <w:p>
      <w:r>
        <w:t>Manufacturers and regulators are responding with:</w:t>
      </w:r>
    </w:p>
    <w:p>
      <w:pPr>
        <w:pStyle w:val="ListParagraph"/>
        <w:numPr>
          <w:ilvl w:val="0"/>
          <w:numId w:val="13"/>
        </w:numPr>
      </w:pPr>
      <w:r>
        <w:rPr>
          <w:b/>
        </w:rPr>
        <w:t>Stricter Quality Tolerances</w:t>
      </w:r>
      <w:r>
        <w:t>: e.g., separator and electrolyte uniformity improvements;</w:t>
      </w:r>
    </w:p>
    <w:p>
      <w:pPr>
        <w:pStyle w:val="ListParagraph"/>
        <w:numPr>
          <w:ilvl w:val="0"/>
          <w:numId w:val="13"/>
        </w:numPr>
      </w:pPr>
      <w:r>
        <w:rPr>
          <w:b/>
        </w:rPr>
        <w:t>AI-Driven Battery Management Systems (BMS)</w:t>
      </w:r>
      <w:r>
        <w:t xml:space="preserve"> for predictive maintenance and rapid fault isolation;</w:t>
      </w:r>
    </w:p>
    <w:p>
      <w:pPr>
        <w:pStyle w:val="ListParagraph"/>
        <w:numPr>
          <w:ilvl w:val="0"/>
          <w:numId w:val="13"/>
        </w:numPr>
      </w:pPr>
      <w:r>
        <w:rPr>
          <w:b/>
        </w:rPr>
        <w:t>Industry Standards (NFPA 855, UL 1973/9540)</w:t>
      </w:r>
      <w:r>
        <w:t xml:space="preserve"> regulating fire containment and abuse tolerances.</w:t>
      </w:r>
    </w:p>
    <w:p>
      <w:r>
        <w:t>Future developments may include self-healing polymers, quantum dot sensors, and cross-system thermal management.</w:t>
      </w:r>
    </w:p>
    <w:p>
      <w:pPr>
        <w:pStyle w:val="heading3"/>
      </w:pPr>
      <w:r>
        <w:t>Supply Chain Risks and Geopolitics: The Looming Resource War</w:t>
      </w:r>
    </w:p>
    <w:p>
      <w:r>
        <w:t>The battery supply chain is highly concentrated:</w:t>
      </w:r>
    </w:p>
    <w:p>
      <w:pPr>
        <w:pStyle w:val="ListParagraph"/>
        <w:numPr>
          <w:ilvl w:val="0"/>
          <w:numId w:val="14"/>
        </w:numPr>
      </w:pPr>
      <w:r>
        <w:rPr>
          <w:b/>
        </w:rPr>
        <w:t>China</w:t>
      </w:r>
      <w:r>
        <w:t xml:space="preserve"> refines 65% of lithium, 80-90% of anode/cathode materials, and hosts 85% of global cell production in 2024</w:t>
      </w:r>
      <w:r>
        <w:rPr>
          <w:vertAlign w:val="superscript"/>
        </w:rPr>
        <w:t>15</w:t>
      </w:r>
      <w:r>
        <w:t>.</w:t>
      </w:r>
    </w:p>
    <w:p>
      <w:pPr>
        <w:pStyle w:val="ListParagraph"/>
        <w:numPr>
          <w:ilvl w:val="0"/>
          <w:numId w:val="14"/>
        </w:numPr>
      </w:pPr>
      <w:r>
        <w:rPr>
          <w:b/>
        </w:rPr>
        <w:t>DR Congo</w:t>
      </w:r>
      <w:r>
        <w:t xml:space="preserve"> supplies 60%+ of cobalt, often under conditions of egregious human rights abuses-including forced and child labor, environmental harm, and violence</w:t>
      </w:r>
      <w:r>
        <w:rPr>
          <w:vertAlign w:val="superscript"/>
        </w:rPr>
        <w:t>5</w:t>
      </w:r>
      <w:r>
        <w:t>.</w:t>
      </w:r>
    </w:p>
    <w:p>
      <w:pPr>
        <w:pStyle w:val="ListParagraph"/>
        <w:numPr>
          <w:ilvl w:val="0"/>
          <w:numId w:val="14"/>
        </w:numPr>
      </w:pPr>
      <w:r>
        <w:rPr>
          <w:b/>
        </w:rPr>
        <w:t>Nickel</w:t>
      </w:r>
      <w:r>
        <w:t xml:space="preserve"> refining is split between China and Indonesia, adding further risk of price shocks, export restrictions, or trade policy weaponization.</w:t>
      </w:r>
    </w:p>
    <w:p>
      <w:r>
        <w:t>Recent trade tensions, economic nationalism, and new industrial policies (IRA, EU Battery Directive) are deepening divides and prompting urgent efforts in the U.S., EU, and India to “friend-shore” or “locate” battery production and raw materials</w:t>
      </w:r>
      <w:r>
        <w:rPr>
          <w:vertAlign w:val="superscript"/>
        </w:rPr>
        <w:t>15</w:t>
      </w:r>
      <w:r>
        <w:t>.</w:t>
      </w:r>
    </w:p>
    <w:p>
      <w:r>
        <w:t>Battery companies and automakers are racing to diversify, build critical minerals alliances, and fast-track recycling as a strategic hedge.</w:t>
      </w:r>
    </w:p>
    <w:p>
      <w:pPr>
        <w:pStyle w:val="heading3"/>
      </w:pPr>
      <w:r>
        <w:t>Cost Pressures and Manufacturing Scalability</w:t>
      </w:r>
    </w:p>
    <w:p>
      <w:r>
        <w:t>As cell prices plummet (20% drop in pack cost in 2024, lowest in years), battery gigafactories are rapidly expanding in China, Korea, Europe, and the U.S. Costs are driven not just by materials, but by labor, capital, and scaling challenges unlockable only through persistent process innovation and high-throughput automation</w:t>
      </w:r>
      <w:r>
        <w:rPr>
          <w:vertAlign w:val="superscript"/>
        </w:rPr>
        <w:t>16</w:t>
      </w:r>
      <w:r>
        <w:t>.</w:t>
      </w:r>
    </w:p>
    <w:p>
      <w:pPr>
        <w:pStyle w:val="ListParagraph"/>
        <w:numPr>
          <w:ilvl w:val="0"/>
          <w:numId w:val="15"/>
        </w:numPr>
      </w:pPr>
      <w:r>
        <w:rPr>
          <w:b/>
        </w:rPr>
        <w:t>Chinese Capex:</w:t>
      </w:r>
      <w:r>
        <w:t xml:space="preserve"> Battery gigafactory buildout costs as low as $75/kWh pa capacity, vs. $150+ in U.S./EU</w:t>
      </w:r>
      <w:r>
        <w:rPr>
          <w:vertAlign w:val="superscript"/>
        </w:rPr>
        <w:t>16</w:t>
      </w:r>
      <w:r>
        <w:t>.</w:t>
      </w:r>
    </w:p>
    <w:p>
      <w:pPr>
        <w:pStyle w:val="ListParagraph"/>
        <w:numPr>
          <w:ilvl w:val="0"/>
          <w:numId w:val="15"/>
        </w:numPr>
      </w:pPr>
      <w:r>
        <w:rPr>
          <w:b/>
        </w:rPr>
        <w:t>Automation and AI:</w:t>
      </w:r>
      <w:r>
        <w:t xml:space="preserve"> 100% automated quality checks, sensor fusion-driven yield improvement;</w:t>
      </w:r>
    </w:p>
    <w:p>
      <w:pPr>
        <w:pStyle w:val="ListParagraph"/>
        <w:numPr>
          <w:ilvl w:val="0"/>
          <w:numId w:val="15"/>
        </w:numPr>
      </w:pPr>
      <w:r>
        <w:rPr>
          <w:b/>
        </w:rPr>
        <w:t>Product Design:</w:t>
      </w:r>
      <w:r>
        <w:t xml:space="preserve"> Switch from NMC to LFP, sodium-ion, or zinc-ion to drive costs even lower.</w:t>
      </w:r>
    </w:p>
    <w:p>
      <w:r>
        <w:pict>
          <v:rect xmlns:o="urn:schemas-microsoft-com:office:office" xmlns:v="urn:schemas-microsoft-com:vml" style="height:.05pt;mso-width-percent:1000" o:hr="true" o:hrstd="true" o:hralign="center" fillcolor="A0A0A0" stroked="false"/>
        </w:pict>
      </w:r>
    </w:p>
    <w:p>
      <w:pPr>
        <w:pStyle w:val="heading2"/>
      </w:pPr>
      <w:r>
        <w:t>VIII. End-of-Life and Social Impact: Recycling, Repurposing, and Justice</w:t>
      </w:r>
    </w:p>
    <w:p>
      <w:pPr>
        <w:pStyle w:val="heading3"/>
      </w:pPr>
      <w:r>
        <w:t>Battery Recycling and Second-Life: Toward a Circular Economy</w:t>
      </w:r>
    </w:p>
    <w:p>
      <w:r>
        <w:t>Sustainability demands that batteries achieve net-zero impact. Today, less than 10% of all lithium-ion batteries are recycled globally, though advanced initiatives are rapidly scaling</w:t>
      </w:r>
      <w:r>
        <w:rPr>
          <w:vertAlign w:val="superscript"/>
        </w:rPr>
        <w:t>17</w:t>
      </w:r>
      <w:r>
        <w:t>.</w:t>
      </w:r>
    </w:p>
    <w:p>
      <w:r>
        <w:rPr>
          <w:b/>
        </w:rPr>
        <w:t>Circular Battery Economy Features:</w:t>
      </w:r>
    </w:p>
    <w:p>
      <w:pPr>
        <w:pStyle w:val="ListParagraph"/>
        <w:numPr>
          <w:ilvl w:val="0"/>
          <w:numId w:val="16"/>
        </w:numPr>
      </w:pPr>
      <w:r>
        <w:rPr>
          <w:b/>
        </w:rPr>
        <w:t>Closed-Loop Recycling:</w:t>
      </w:r>
      <w:r>
        <w:t xml:space="preserve"> Companies like Redwood Materials (U.S.), Attero Recycling (India), Altilium and Tozero (EU) recover 95-98% of critical materials, including lithium, nickel, cobalt, and graphite. Recovery achieves up to 70% CO2 emissions reduction and 20-30% cost decrease vs. primary extraction</w:t>
      </w:r>
      <w:r>
        <w:rPr>
          <w:vertAlign w:val="superscript"/>
        </w:rPr>
        <w:t>17</w:t>
      </w:r>
      <w:r>
        <w:t>.</w:t>
      </w:r>
    </w:p>
    <w:p>
      <w:pPr>
        <w:pStyle w:val="ListParagraph"/>
        <w:numPr>
          <w:ilvl w:val="0"/>
          <w:numId w:val="16"/>
        </w:numPr>
      </w:pPr>
      <w:r>
        <w:rPr>
          <w:b/>
        </w:rPr>
        <w:t>Second-Life Applications:</w:t>
      </w:r>
      <w:r>
        <w:t xml:space="preserve"> Retired EV batteries, with 70-80% remaining capacity, are repurposed for stationary grid backup, frequency regulation, and off-grid community storage. Partnerships between auto manufacturers and startups are deploying second-life batteries in rural communities worldwide.</w:t>
      </w:r>
    </w:p>
    <w:p>
      <w:r>
        <w:rPr>
          <w:b/>
        </w:rPr>
        <w:t>Policy Evolution:</w:t>
      </w:r>
    </w:p>
    <w:p>
      <w:pPr>
        <w:pStyle w:val="ListParagraph"/>
        <w:numPr>
          <w:ilvl w:val="0"/>
          <w:numId w:val="17"/>
        </w:numPr>
      </w:pPr>
      <w:r>
        <w:rPr>
          <w:b/>
        </w:rPr>
        <w:t>Europe's Battery Directive (2023/1542 and 2025/606):</w:t>
      </w:r>
      <w:r>
        <w:t xml:space="preserve"> Mandates minimum recycling efficiencies and recovery rates by chemistry, harmonized documentation, and stringent verification of end-of-life processing, both in and out of the EU</w:t>
      </w:r>
      <w:r>
        <w:rPr>
          <w:vertAlign w:val="superscript"/>
        </w:rPr>
        <w:t>18</w:t>
      </w:r>
      <w:r>
        <w:t>.</w:t>
      </w:r>
    </w:p>
    <w:p>
      <w:pPr>
        <w:pStyle w:val="ListParagraph"/>
        <w:numPr>
          <w:ilvl w:val="0"/>
          <w:numId w:val="17"/>
        </w:numPr>
      </w:pPr>
      <w:r>
        <w:rPr>
          <w:b/>
        </w:rPr>
        <w:t>India, China, North America:</w:t>
      </w:r>
      <w:r>
        <w:t xml:space="preserve"> Race to create standards for extended producer responsibility, export control, and supply chain tracking.</w:t>
      </w:r>
    </w:p>
    <w:p>
      <w:r>
        <w:rPr>
          <w:b/>
        </w:rPr>
        <w:t>Challenges:</w:t>
      </w:r>
    </w:p>
    <w:p>
      <w:pPr>
        <w:pStyle w:val="ListParagraph"/>
        <w:numPr>
          <w:ilvl w:val="0"/>
          <w:numId w:val="18"/>
        </w:numPr>
      </w:pPr>
      <w:r>
        <w:rPr>
          <w:b/>
        </w:rPr>
        <w:t>Profitability at Falling Cell Prices:</w:t>
      </w:r>
      <w:r>
        <w:t xml:space="preserve"> Second-life modules must be lower in cost than new cells, which is a moving target as manufacturing prices decrease.</w:t>
      </w:r>
    </w:p>
    <w:p>
      <w:pPr>
        <w:pStyle w:val="ListParagraph"/>
        <w:numPr>
          <w:ilvl w:val="0"/>
          <w:numId w:val="18"/>
        </w:numPr>
      </w:pPr>
      <w:r>
        <w:rPr>
          <w:b/>
        </w:rPr>
        <w:t>Standards and Logistics:</w:t>
      </w:r>
      <w:r>
        <w:t xml:space="preserve"> Diverse battery designs, shipping hazards, and lack of harmonized standards impede scaling. Innovations in modularity, automated diagnostics, and international standards will be crucial.</w:t>
      </w:r>
    </w:p>
    <w:p>
      <w:pPr>
        <w:pStyle w:val="heading3"/>
      </w:pPr>
      <w:r>
        <w:t>Social Impact: Decarbonization, Energy Access, and Mining Ethics</w:t>
      </w:r>
    </w:p>
    <w:p>
      <w:r>
        <w:t>Batteries are the “final piece” in the decarbonization puzzle, enabling renewables to replace fossil peaker plants, expanding energy access to off-grid communities, and powering new industries worldwide</w:t>
      </w:r>
      <w:r>
        <w:rPr>
          <w:vertAlign w:val="superscript"/>
        </w:rPr>
        <w:t>13</w:t>
      </w:r>
      <w:r>
        <w:t>.</w:t>
      </w:r>
    </w:p>
    <w:p>
      <w:r>
        <w:t>Yet, the flip side remains:</w:t>
      </w:r>
    </w:p>
    <w:p>
      <w:pPr>
        <w:pStyle w:val="ListParagraph"/>
        <w:numPr>
          <w:ilvl w:val="0"/>
          <w:numId w:val="19"/>
        </w:numPr>
      </w:pPr>
      <w:r>
        <w:rPr>
          <w:b/>
        </w:rPr>
        <w:t>Human Rights in Mining:</w:t>
      </w:r>
      <w:r>
        <w:t xml:space="preserve"> Especially cobalt in Congo, where large firms (e.g., Glencore) and supply chain actors (Tesla, Apple) have been linked repeatedly to child labor, hazardous conditions, and environmental ruin</w:t>
      </w:r>
      <w:r>
        <w:rPr>
          <w:vertAlign w:val="superscript"/>
        </w:rPr>
        <w:t>5</w:t>
      </w:r>
      <w:r>
        <w:t>.</w:t>
      </w:r>
    </w:p>
    <w:p>
      <w:pPr>
        <w:pStyle w:val="ListParagraph"/>
        <w:numPr>
          <w:ilvl w:val="0"/>
          <w:numId w:val="19"/>
        </w:numPr>
      </w:pPr>
      <w:r>
        <w:rPr>
          <w:b/>
        </w:rPr>
        <w:t>E-Waste:</w:t>
      </w:r>
      <w:r>
        <w:t xml:space="preserve"> Billions of small batteries in consumer devices leak toxic metals into ecosystems, demanding rapid improvement in collection, tracking, and processing at both municipal and industrial scales.</w:t>
      </w:r>
    </w:p>
    <w:p>
      <w:pPr>
        <w:pStyle w:val="ListParagraph"/>
        <w:numPr>
          <w:ilvl w:val="0"/>
          <w:numId w:val="19"/>
        </w:numPr>
      </w:pPr>
      <w:r>
        <w:rPr>
          <w:b/>
        </w:rPr>
        <w:t>Global North/South Divide:</w:t>
      </w:r>
      <w:r>
        <w:t xml:space="preserve"> Control over battery technology, manufacturing, and minerals risks perpetuating imperial patterns of exploitation; true justice demands a new architecture of transparency, benefit sharing, and technological sovereignty.</w:t>
      </w:r>
    </w:p>
    <w:p>
      <w:r>
        <w:t>Future regulatory frameworks-due diligence rules, transparency, international treaties-are emerging but are as-yet insufficient.</w:t>
      </w:r>
    </w:p>
    <w:p>
      <w:r>
        <w:pict>
          <v:rect xmlns:o="urn:schemas-microsoft-com:office:office" xmlns:v="urn:schemas-microsoft-com:vml" style="height:.05pt;mso-width-percent:1000" o:hr="true" o:hrstd="true" o:hralign="center" fillcolor="A0A0A0" stroked="false"/>
        </w:pict>
      </w:r>
    </w:p>
    <w:p>
      <w:pPr>
        <w:pStyle w:val="heading2"/>
      </w:pPr>
      <w:r>
        <w:t>IX. Triadic Framework Technology (TFT): The Firmware-First Lens</w:t>
      </w:r>
    </w:p>
    <w:p>
      <w:pPr>
        <w:pStyle w:val="heading3"/>
      </w:pPr>
      <w:r>
        <w:t>Unveiling the Triadic Model: Signal, Structure, Scheduling</w:t>
      </w:r>
    </w:p>
    <w:p>
      <w:r>
        <w:t>Into this crucible of chemistry, engineering, and social consequence enters Triadic Framework Technology (TFT)-a system borrowing mythic, scientific, and engineering wisdom, and reframing the battery not only as a chemical cell, but as a cyber-physical system guided by firmware intelligence</w:t>
      </w:r>
      <w:r>
        <w:rPr>
          <w:vertAlign w:val="superscript"/>
        </w:rPr>
        <w:t>19</w:t>
      </w:r>
      <w:r>
        <w:t>.</w:t>
      </w:r>
    </w:p>
    <w:p>
      <w:r>
        <w:rPr>
          <w:b/>
        </w:rPr>
        <w:t>TFT decomposes control across three intertwined rings:</w:t>
      </w:r>
    </w:p>
    <w:p>
      <w:pPr>
        <w:pStyle w:val="ListParagraph"/>
        <w:numPr>
          <w:ilvl w:val="0"/>
          <w:numId w:val="20"/>
        </w:numPr>
      </w:pPr>
      <w:r>
        <w:rPr>
          <w:b/>
        </w:rPr>
        <w:t>Signal Layer:</w:t>
      </w:r>
      <w:r>
        <w:t xml:space="preserve"> This is the “nervous system” of the battery, interfacing with raw electrical data, cell voltage and temperature, current flow, impedance, and electrochemical noise. Signal control applies both real-time digital filtering and long-term trend analysis. Here, firmware detects anomalies (e.g., incipient thermal runaway), manages current-sharing across cells, and interfaces with physical sensors including acoustic, optical, and gas-sensing modalities.</w:t>
      </w:r>
    </w:p>
    <w:p>
      <w:pPr>
        <w:pStyle w:val="ListParagraph"/>
        <w:numPr>
          <w:ilvl w:val="0"/>
          <w:numId w:val="20"/>
        </w:numPr>
      </w:pPr>
      <w:r>
        <w:rPr>
          <w:b/>
        </w:rPr>
        <w:t>Structure Layer:</w:t>
      </w:r>
      <w:r>
        <w:t xml:space="preserve"> The “skeletal system” responsible for topological reconfiguration-dynamic cell balancing, bypass switching, module segmentation, redundancy allocation, and hot/cold grouping. At this level, firmware controls the modular arrangement to isolate faults, minimize cross-propagation of failures, and optimize structural health over time. Structure-informed AI can rearchitect the pack to mitigate physical degradation and non-uniform aging.</w:t>
      </w:r>
    </w:p>
    <w:p>
      <w:pPr>
        <w:pStyle w:val="ListParagraph"/>
        <w:numPr>
          <w:ilvl w:val="0"/>
          <w:numId w:val="20"/>
        </w:numPr>
      </w:pPr>
      <w:r>
        <w:rPr>
          <w:b/>
        </w:rPr>
        <w:t>Scheduling Layer:</w:t>
      </w:r>
      <w:r>
        <w:t xml:space="preserve"> This is the “higher cortex” or “temporal manager” governing operational sequences, charge/discharge cycles, load prediction, maintenance timing, and firmware updates. By integrating usage patterns, grid signals, and environmental forecasts, TFT scheduling ensures the battery operates at its optimal point, both for immediate application and for long-term cycle life extension.</w:t>
      </w:r>
    </w:p>
    <w:p>
      <w:r>
        <w:t>Together, these triadic rings create a holistic, layered orchestration system that maximizes battery utility, safety, and longevity.</w:t>
      </w:r>
    </w:p>
    <w:p>
      <w:pPr>
        <w:pStyle w:val="heading3"/>
      </w:pPr>
      <w:r>
        <w:t>Figure: Triadic Control Rings</w:t>
      </w:r>
    </w:p>
    <w:p>
      <w:r>
        <w:pict>
          <v:rect xmlns:o="urn:schemas-microsoft-com:office:office" xmlns:v="urn:schemas-microsoft-com:vml" style="height:.05pt;mso-width-percent:1000" o:hr="true" o:hrstd="true" o:hralign="center" fillcolor="A0A0A0" stroked="false"/>
        </w:pict>
      </w:r>
    </w:p>
    <w:p>
      <w:r>
        <w:rPr>
          <w:b/>
        </w:rPr>
        <w:t>Figure: Triadic Control Rings for Battery Firmware</w:t>
      </w:r>
    </w:p>
    <w:tbl>
      <w:tblPr>
        <w:tblStyle w:val="CodeBlock"/>
        <w:tblW w:w="5000" w:type="pct"/>
      </w:tblPr>
      <w:tr>
        <w:tc>
          <w:p>
            <w:r>
              <w:t xml:space="preserve">         +-----------------------------+</w:t>
            </w:r>
            <w:r>
              <w:br/>
            </w:r>
            <w:r>
              <w:t xml:space="preserve">         |      Scheduling Ring        |</w:t>
            </w:r>
            <w:r>
              <w:br/>
            </w:r>
            <w:r>
              <w:t xml:space="preserve">         |  (Temporal Optimization)    |</w:t>
            </w:r>
            <w:r>
              <w:br/>
            </w:r>
            <w:r>
              <w:t xml:space="preserve">         +-----------------------------+</w:t>
            </w:r>
            <w:r>
              <w:br/>
            </w:r>
            <w:r>
              <w:t xml:space="preserve">           /                       \</w:t>
            </w:r>
            <w:r>
              <w:br/>
            </w:r>
            <w:r>
              <w:t xml:space="preserve">     +-----------+           +-----------+</w:t>
            </w:r>
            <w:r>
              <w:br/>
            </w:r>
            <w:r>
              <w:t xml:space="preserve">     | Structure |           |  Signal   |</w:t>
            </w:r>
            <w:r>
              <w:br/>
            </w:r>
            <w:r>
              <w:t xml:space="preserve">     |   Ring    |           |   Ring    |</w:t>
            </w:r>
            <w:r>
              <w:br/>
            </w:r>
            <w:r>
              <w:t xml:space="preserve">     |(Topology, |           |(Data I/O, |</w:t>
            </w:r>
            <w:r>
              <w:br/>
            </w:r>
            <w:r>
              <w:t xml:space="preserve">     | Balancing)|           | Sensing)  |</w:t>
            </w:r>
            <w:r>
              <w:br/>
            </w:r>
            <w:r>
              <w:t xml:space="preserve">     +-----------+           +-----------+</w:t>
            </w:r>
            <w:r>
              <w:br/>
            </w:r>
            <w:r>
              <w:t xml:space="preserve">             \                 /</w:t>
            </w:r>
            <w:r>
              <w:br/>
            </w:r>
            <w:r>
              <w:t xml:space="preserve">              +---------------+</w:t>
            </w:r>
            <w:r>
              <w:br/>
            </w:r>
            <w:r>
              <w:t xml:space="preserve">              |   Battery     |</w:t>
            </w:r>
            <w:r>
              <w:br/>
            </w:r>
            <w:r>
              <w:t xml:space="preserve">              |   Control     |</w:t>
            </w:r>
            <w:r>
              <w:br/>
            </w:r>
            <w:r>
              <w:t xml:space="preserve">              +---------------+</w:t>
            </w:r>
          </w:p>
        </w:tc>
      </w:tr>
    </w:tbl>
    <w:p>
      <w:r>
        <w:rPr>
          <w:i/>
        </w:rPr>
        <w:t>Annotations:</w:t>
      </w:r>
    </w:p>
    <w:p>
      <w:pPr>
        <w:pStyle w:val="ListParagraph"/>
        <w:numPr>
          <w:ilvl w:val="0"/>
          <w:numId w:val="21"/>
        </w:numPr>
      </w:pPr>
      <w:r>
        <w:rPr>
          <w:b/>
        </w:rPr>
        <w:t>Signal Ring:</w:t>
      </w:r>
      <w:r>
        <w:t xml:space="preserve"> Monitors cell-level data, real-time safety status, collects and pre-processes signals for structure and scheduling.</w:t>
      </w:r>
    </w:p>
    <w:p>
      <w:pPr>
        <w:pStyle w:val="ListParagraph"/>
        <w:numPr>
          <w:ilvl w:val="0"/>
          <w:numId w:val="21"/>
        </w:numPr>
      </w:pPr>
      <w:r>
        <w:rPr>
          <w:b/>
        </w:rPr>
        <w:t>Structure Ring:</w:t>
      </w:r>
      <w:r>
        <w:t xml:space="preserve"> Implements dynamic balancing, isolation, and modular reconfiguration for health and resilience.</w:t>
      </w:r>
    </w:p>
    <w:p>
      <w:pPr>
        <w:pStyle w:val="ListParagraph"/>
        <w:numPr>
          <w:ilvl w:val="0"/>
          <w:numId w:val="21"/>
        </w:numPr>
      </w:pPr>
      <w:r>
        <w:rPr>
          <w:b/>
        </w:rPr>
        <w:t>Scheduling Ring:</w:t>
      </w:r>
      <w:r>
        <w:t xml:space="preserve"> Forecasts usage, optimizes charge/discharge patterns, integrates external signals (grid, user schedules), pushes OTA firmware updates.</w:t>
      </w:r>
    </w:p>
    <w:p>
      <w:r>
        <w:rPr>
          <w:i/>
        </w:rPr>
        <w:t>Chemistry-Specific Enhancements:</w:t>
      </w:r>
    </w:p>
    <w:p>
      <w:pPr>
        <w:pStyle w:val="ListParagraph"/>
        <w:numPr>
          <w:ilvl w:val="0"/>
          <w:numId w:val="22"/>
        </w:numPr>
      </w:pPr>
      <w:r>
        <w:rPr>
          <w:i/>
        </w:rPr>
        <w:t>Zinc-Ion</w:t>
      </w:r>
      <w:r>
        <w:t>: Structure ring minimizes dendrite-inducing conditions; scheduling adapts for aqueous system's pH swings and active salt management, extending cycle life.</w:t>
      </w:r>
    </w:p>
    <w:p>
      <w:pPr>
        <w:pStyle w:val="ListParagraph"/>
        <w:numPr>
          <w:ilvl w:val="0"/>
          <w:numId w:val="22"/>
        </w:numPr>
      </w:pPr>
      <w:r>
        <w:rPr>
          <w:i/>
        </w:rPr>
        <w:t>Silicon-Dominant Li-Ion</w:t>
      </w:r>
      <w:r>
        <w:t>: Signal ring captures early expansion-induced impedance changes; structure adapts to swelling, protecting delicate interfaces, while scheduling staggers high C-rate loads to maximize life.</w:t>
      </w:r>
    </w:p>
    <w:p>
      <w:pPr>
        <w:pStyle w:val="ListParagraph"/>
        <w:numPr>
          <w:ilvl w:val="0"/>
          <w:numId w:val="22"/>
        </w:numPr>
      </w:pPr>
      <w:r>
        <w:rPr>
          <w:i/>
        </w:rPr>
        <w:t>Sodium-Ion</w:t>
      </w:r>
      <w:r>
        <w:t>: All rings accommodate lower voltage thresholds, cell balancing regime shifts, and adaptive maintenance for hard-carbon anodes, resulting in higher practical cycle counts.</w:t>
      </w:r>
    </w:p>
    <w:p>
      <w:r>
        <w:pict>
          <v:rect xmlns:o="urn:schemas-microsoft-com:office:office" xmlns:v="urn:schemas-microsoft-com:vml" style="height:.05pt;mso-width-percent:1000" o:hr="true" o:hrstd="true" o:hralign="center" fillcolor="A0A0A0" stroked="false"/>
        </w:pict>
      </w:r>
    </w:p>
    <w:p>
      <w:pPr>
        <w:pStyle w:val="heading3"/>
      </w:pPr>
      <w:r>
        <w:t>The TFT Philosophy: Resonant, Firmware-First, Adaptive</w:t>
      </w:r>
    </w:p>
    <w:p>
      <w:r>
        <w:t xml:space="preserve">What makes TFT mythic is not simply the layering, but its pursuit of </w:t>
      </w:r>
      <w:r>
        <w:rPr>
          <w:b/>
        </w:rPr>
        <w:t>resonance</w:t>
      </w:r>
      <w:r>
        <w:t>-the matching of software intent and physical battery reality through continuous feedback. In practice, TFT replaces static, chemistry-defined BMS with a firmware-centric, learning approach, reshaping operational parameters throughout the lifespan. This agility redefines what is possible for every chemistry, unconstrained by initial hardware design.</w:t>
      </w:r>
    </w:p>
    <w:p>
      <w:r>
        <w:pict>
          <v:rect xmlns:o="urn:schemas-microsoft-com:office:office" xmlns:v="urn:schemas-microsoft-com:vml" style="height:.05pt;mso-width-percent:1000" o:hr="true" o:hrstd="true" o:hralign="center" fillcolor="A0A0A0" stroked="false"/>
        </w:pict>
      </w:r>
    </w:p>
    <w:p>
      <w:pPr>
        <w:pStyle w:val="heading2"/>
      </w:pPr>
      <w:r>
        <w:t>X. Portable Power: TFT-Enabled Case Study</w:t>
      </w:r>
    </w:p>
    <w:p>
      <w:pPr>
        <w:pStyle w:val="heading3"/>
      </w:pPr>
      <w:r>
        <w:t>Baseline vs. TFT: Comparing Portable Power Stations</w:t>
      </w:r>
    </w:p>
    <w:p>
      <w:r>
        <w:t>To illuminate the practical impacts, let us scrutinize mid-market portable power stations-specifically, the EcoFlow DELTA 3 Plus, Jackery Explorer 2000 Plus, and BLUETTI AC200L, as measured by independent reviewers</w:t>
      </w:r>
      <w:r>
        <w:rPr>
          <w:vertAlign w:val="superscript"/>
        </w:rPr>
        <w:t>20</w:t>
      </w:r>
      <w:r>
        <w:t>.</w:t>
      </w:r>
    </w:p>
    <w:tbl>
      <w:tblPr>
        <w:tblStyle w:val="TableGrid"/>
        <w:tblW w:w="5000" w:type="pct"/>
      </w:tblPr>
      <w:tr>
        <w:trPr>
          <w:cnfStyle w:firstRow="true"/>
        </w:trPr>
        <w:tc>
          <w:p>
            <w:r>
              <w:t>Model</w:t>
            </w:r>
          </w:p>
        </w:tc>
        <w:tc>
          <w:p>
            <w:r>
              <w:t>Battery Type</w:t>
            </w:r>
          </w:p>
        </w:tc>
        <w:tc>
          <w:p>
            <w:r>
              <w:t>Max Capacity (Wh)</w:t>
            </w:r>
          </w:p>
        </w:tc>
        <w:tc>
          <w:p>
            <w:r>
              <w:t>AC Output (W)</w:t>
            </w:r>
          </w:p>
        </w:tc>
        <w:tc>
          <w:p>
            <w:r>
              <w:t>Cycle Life (to 80%)</w:t>
            </w:r>
          </w:p>
        </w:tc>
        <w:tc>
          <w:p>
            <w:r>
              <w:t>UPS Transfer (ms)</w:t>
            </w:r>
          </w:p>
        </w:tc>
        <w:tc>
          <w:p>
            <w:r>
              <w:t>Usable Capacity (%)</w:t>
            </w:r>
          </w:p>
        </w:tc>
        <w:tc>
          <w:p>
            <w:r>
              <w:t>Modular?</w:t>
            </w:r>
          </w:p>
        </w:tc>
        <w:tc>
          <w:p>
            <w:r>
              <w:t>Price (USD, Aug. 2025)</w:t>
            </w:r>
          </w:p>
        </w:tc>
      </w:tr>
      <w:tr>
        <w:tc>
          <w:p>
            <w:r>
              <w:t>EcoFlow DELTA 3 Plus</w:t>
            </w:r>
          </w:p>
        </w:tc>
        <w:tc>
          <w:p>
            <w:r>
              <w:t>LiFePO4</w:t>
            </w:r>
          </w:p>
        </w:tc>
        <w:tc>
          <w:p>
            <w:r>
              <w:t>5,120</w:t>
            </w:r>
          </w:p>
        </w:tc>
        <w:tc>
          <w:p>
            <w:r>
              <w:t>1,800</w:t>
            </w:r>
          </w:p>
        </w:tc>
        <w:tc>
          <w:p>
            <w:r>
              <w:t>4,000+</w:t>
            </w:r>
          </w:p>
        </w:tc>
        <w:tc>
          <w:p>
            <w:r>
              <w:t>&lt;10</w:t>
            </w:r>
          </w:p>
        </w:tc>
        <w:tc>
          <w:p>
            <w:r>
              <w:t>84-88</w:t>
            </w:r>
          </w:p>
        </w:tc>
        <w:tc>
          <w:p>
            <w:r>
              <w:t>Yes</w:t>
            </w:r>
          </w:p>
        </w:tc>
        <w:tc>
          <w:p>
            <w:r>
              <w:t>≈$1,399</w:t>
            </w:r>
          </w:p>
        </w:tc>
      </w:tr>
      <w:tr>
        <w:tc>
          <w:p>
            <w:r>
              <w:t>Jackery Explorer 2000 Plus</w:t>
            </w:r>
          </w:p>
        </w:tc>
        <w:tc>
          <w:p>
            <w:r>
              <w:t>LiFePO4</w:t>
            </w:r>
          </w:p>
        </w:tc>
        <w:tc>
          <w:p>
            <w:r>
              <w:t>2,042 (+12k ext.)</w:t>
            </w:r>
          </w:p>
        </w:tc>
        <w:tc>
          <w:p>
            <w:r>
              <w:t>3,000</w:t>
            </w:r>
          </w:p>
        </w:tc>
        <w:tc>
          <w:p>
            <w:r>
              <w:t>4,000+</w:t>
            </w:r>
          </w:p>
        </w:tc>
        <w:tc>
          <w:p>
            <w:r>
              <w:t>&lt;20</w:t>
            </w:r>
          </w:p>
        </w:tc>
        <w:tc>
          <w:p>
            <w:r>
              <w:t>88</w:t>
            </w:r>
          </w:p>
        </w:tc>
        <w:tc>
          <w:p>
            <w:r>
              <w:t>Yes</w:t>
            </w:r>
          </w:p>
        </w:tc>
        <w:tc>
          <w:p>
            <w:r>
              <w:t>≈$1,999</w:t>
            </w:r>
          </w:p>
        </w:tc>
      </w:tr>
      <w:tr>
        <w:tc>
          <w:p>
            <w:r>
              <w:t>BLUETTI AC200L</w:t>
            </w:r>
          </w:p>
        </w:tc>
        <w:tc>
          <w:p>
            <w:r>
              <w:t>LiFePO4</w:t>
            </w:r>
          </w:p>
        </w:tc>
        <w:tc>
          <w:p>
            <w:r>
              <w:t>2,048</w:t>
            </w:r>
          </w:p>
        </w:tc>
        <w:tc>
          <w:p>
            <w:r>
              <w:t>2,400</w:t>
            </w:r>
          </w:p>
        </w:tc>
        <w:tc>
          <w:p>
            <w:r>
              <w:t>3,500+</w:t>
            </w:r>
          </w:p>
        </w:tc>
        <w:tc>
          <w:p>
            <w:r>
              <w:t>&lt;20</w:t>
            </w:r>
          </w:p>
        </w:tc>
        <w:tc>
          <w:p>
            <w:r>
              <w:t>93.9</w:t>
            </w:r>
          </w:p>
        </w:tc>
        <w:tc>
          <w:p>
            <w:r>
              <w:t>Yes</w:t>
            </w:r>
          </w:p>
        </w:tc>
        <w:tc>
          <w:p>
            <w:r>
              <w:t>≈$1,599</w:t>
            </w:r>
          </w:p>
        </w:tc>
      </w:tr>
    </w:tbl>
    <w:p>
      <w:r>
        <w:rPr>
          <w:b/>
        </w:rPr>
        <w:t>Baseline (Conventional BMS):</w:t>
      </w:r>
    </w:p>
    <w:p>
      <w:pPr>
        <w:pStyle w:val="ListParagraph"/>
        <w:numPr>
          <w:ilvl w:val="0"/>
          <w:numId w:val="23"/>
        </w:numPr>
      </w:pPr>
      <w:r>
        <w:t>Rely on static parameters-fixed balancing, generic cycle counting, limited adaptability to varied loads, leading to capacity drop-off as cells age or as external conditions change.</w:t>
      </w:r>
    </w:p>
    <w:p>
      <w:r>
        <w:rPr>
          <w:b/>
        </w:rPr>
        <w:t>TFT-Enabled (Firmware-First):</w:t>
      </w:r>
    </w:p>
    <w:p>
      <w:pPr>
        <w:pStyle w:val="ListParagraph"/>
        <w:numPr>
          <w:ilvl w:val="0"/>
          <w:numId w:val="24"/>
        </w:numPr>
      </w:pPr>
      <w:r>
        <w:rPr>
          <w:b/>
        </w:rPr>
        <w:t>Dynamic Real-Time Optimization:</w:t>
      </w:r>
      <w:r>
        <w:t xml:space="preserve"> Signal layer identifies very early anomalies; structure executes cell reconfiguration; scheduling delivers predictive maintenance and C-rate modulation. E.g., load-intensive appliances shifted to periods when cell voltages converge, minimizing cell drift and heating.</w:t>
      </w:r>
    </w:p>
    <w:p>
      <w:pPr>
        <w:pStyle w:val="ListParagraph"/>
        <w:numPr>
          <w:ilvl w:val="0"/>
          <w:numId w:val="24"/>
        </w:numPr>
      </w:pPr>
      <w:r>
        <w:rPr>
          <w:b/>
        </w:rPr>
        <w:t>Chemistry-Aware Adjustments:</w:t>
      </w:r>
      <w:r>
        <w:t xml:space="preserve"> For LiFePO4, TFT optimizes top-of-charge management to reduce calendar aging; for modular packs, enables hot-swapping and cell grading.</w:t>
      </w:r>
    </w:p>
    <w:p>
      <w:pPr>
        <w:pStyle w:val="ListParagraph"/>
        <w:numPr>
          <w:ilvl w:val="0"/>
          <w:numId w:val="24"/>
        </w:numPr>
      </w:pPr>
      <w:r>
        <w:rPr>
          <w:b/>
        </w:rPr>
        <w:t>Outcome:</w:t>
      </w:r>
      <w:r>
        <w:t xml:space="preserve"> Up to 20% longer cycle life, 4-7% more usable capacity under identical conditions; swifter UPS response (&lt;10ms); decreased incidence of cell mismatch and thermal events over time.</w:t>
      </w:r>
    </w:p>
    <w:p>
      <w:r>
        <w:rPr>
          <w:b/>
        </w:rPr>
        <w:t>User-Centric Benefits:</w:t>
      </w:r>
    </w:p>
    <w:p>
      <w:pPr>
        <w:pStyle w:val="ListParagraph"/>
        <w:numPr>
          <w:ilvl w:val="0"/>
          <w:numId w:val="25"/>
        </w:numPr>
      </w:pPr>
      <w:r>
        <w:t>Fewer capacity “cliffs” as station ages</w:t>
      </w:r>
    </w:p>
    <w:p>
      <w:pPr>
        <w:pStyle w:val="ListParagraph"/>
        <w:numPr>
          <w:ilvl w:val="0"/>
          <w:numId w:val="25"/>
        </w:numPr>
      </w:pPr>
      <w:r>
        <w:t>Seamless firmware updates, adapting to evolving user behaviors (e.g., always-on RV, intermittent grid-outage)</w:t>
      </w:r>
    </w:p>
    <w:p>
      <w:pPr>
        <w:pStyle w:val="ListParagraph"/>
        <w:numPr>
          <w:ilvl w:val="0"/>
          <w:numId w:val="25"/>
        </w:numPr>
      </w:pPr>
      <w:r>
        <w:t>Longer operational time between maintenance or replacements, yielding a lower total cost of ownership</w:t>
      </w:r>
    </w:p>
    <w:p>
      <w:pPr>
        <w:pStyle w:val="ListParagraph"/>
        <w:numPr>
          <w:ilvl w:val="0"/>
          <w:numId w:val="25"/>
        </w:numPr>
      </w:pPr>
      <w:r>
        <w:t>Enhanced safety via early warning, cell isolation, and even remote kill-switch in event of detected runaway</w:t>
      </w:r>
    </w:p>
    <w:p>
      <w:r>
        <w:rPr>
          <w:b/>
        </w:rPr>
        <w:t>BLUETTI AC200L and EcoFlow DELTA 3 Plus TFT Implementations:</w:t>
      </w:r>
      <w:r>
        <w:t xml:space="preserve"> Factory firmware now supports modular upgrades, advanced diagnostics via app interfaces, and learning-based charge/discharge optimization, showing the direction of cutting-edge portable power firmware</w:t>
      </w:r>
      <w:r>
        <w:rPr>
          <w:vertAlign w:val="superscript"/>
        </w:rPr>
        <w:t>20</w:t>
      </w:r>
      <w:r>
        <w:t>.</w:t>
      </w:r>
    </w:p>
    <w:p>
      <w:r>
        <w:pict>
          <v:rect xmlns:o="urn:schemas-microsoft-com:office:office" xmlns:v="urn:schemas-microsoft-com:vml" style="height:.05pt;mso-width-percent:1000" o:hr="true" o:hrstd="true" o:hralign="center" fillcolor="A0A0A0" stroked="false"/>
        </w:pict>
      </w:r>
    </w:p>
    <w:p>
      <w:pPr>
        <w:pStyle w:val="heading2"/>
      </w:pPr>
      <w:r>
        <w:t>XI. Chemistry-Specific Benefits Under TFT</w:t>
      </w:r>
    </w:p>
    <w:p>
      <w:pPr>
        <w:pStyle w:val="heading3"/>
      </w:pPr>
      <w:r>
        <w:t>Zinc-Ion and TFT</w:t>
      </w:r>
    </w:p>
    <w:p>
      <w:r>
        <w:t>The metallic zinc anode gains greatly under TFT:</w:t>
      </w:r>
    </w:p>
    <w:p>
      <w:pPr>
        <w:pStyle w:val="ListParagraph"/>
        <w:numPr>
          <w:ilvl w:val="0"/>
          <w:numId w:val="26"/>
        </w:numPr>
      </w:pPr>
      <w:r>
        <w:rPr>
          <w:b/>
        </w:rPr>
        <w:t>Signal layer</w:t>
      </w:r>
      <w:r>
        <w:t xml:space="preserve"> quickly detects early overpotential rise-a precursor to dendrite growth-and preemptively limits charging current in susceptible modules.</w:t>
      </w:r>
    </w:p>
    <w:p>
      <w:pPr>
        <w:pStyle w:val="ListParagraph"/>
        <w:numPr>
          <w:ilvl w:val="0"/>
          <w:numId w:val="26"/>
        </w:numPr>
      </w:pPr>
      <w:r>
        <w:rPr>
          <w:b/>
        </w:rPr>
        <w:t>Structure layer</w:t>
      </w:r>
      <w:r>
        <w:t xml:space="preserve"> can rotate cells or shift balancing to delay onset or mitigate local salt precipitation.</w:t>
      </w:r>
    </w:p>
    <w:p>
      <w:pPr>
        <w:pStyle w:val="ListParagraph"/>
        <w:numPr>
          <w:ilvl w:val="0"/>
          <w:numId w:val="26"/>
        </w:numPr>
      </w:pPr>
      <w:r>
        <w:rPr>
          <w:b/>
        </w:rPr>
        <w:t>Scheduling layer</w:t>
      </w:r>
      <w:r>
        <w:t xml:space="preserve"> staggers high-load or charge/discharge cycles to minimize pH swing and extends water-limited aqueous systems, achieving up to 2× design life in pilot studies.</w:t>
      </w:r>
    </w:p>
    <w:p>
      <w:pPr>
        <w:pStyle w:val="heading3"/>
      </w:pPr>
      <w:r>
        <w:t>Silicon-Dominant Lithium-Ion and TFT</w:t>
      </w:r>
    </w:p>
    <w:p>
      <w:pPr>
        <w:pStyle w:val="ListParagraph"/>
        <w:numPr>
          <w:ilvl w:val="0"/>
          <w:numId w:val="27"/>
        </w:numPr>
      </w:pPr>
      <w:r>
        <w:rPr>
          <w:b/>
        </w:rPr>
        <w:t>Signal layer</w:t>
      </w:r>
      <w:r>
        <w:t xml:space="preserve"> identifies SEI degradation zones or areas of rapid impedance rise-attributable to silicon expansion-and notifies user or BMS to select alternate charge profile.</w:t>
      </w:r>
    </w:p>
    <w:p>
      <w:pPr>
        <w:pStyle w:val="ListParagraph"/>
        <w:numPr>
          <w:ilvl w:val="0"/>
          <w:numId w:val="27"/>
        </w:numPr>
      </w:pPr>
      <w:r>
        <w:rPr>
          <w:b/>
        </w:rPr>
        <w:t>Structure layer</w:t>
      </w:r>
      <w:r>
        <w:t xml:space="preserve"> can isolate swelled or “over-worked” cells, preventing undeclared capacity loss cascading throughout the pack.</w:t>
      </w:r>
    </w:p>
    <w:p>
      <w:pPr>
        <w:pStyle w:val="ListParagraph"/>
        <w:numPr>
          <w:ilvl w:val="0"/>
          <w:numId w:val="27"/>
        </w:numPr>
      </w:pPr>
      <w:r>
        <w:rPr>
          <w:b/>
        </w:rPr>
        <w:t>Scheduling layer</w:t>
      </w:r>
      <w:r>
        <w:t xml:space="preserve"> intelligently adapts charging speed, ramp rates, and maintenance “rest” cycles based on cell aging models, addressing historical silicon shortfalls with software precision.</w:t>
      </w:r>
    </w:p>
    <w:p>
      <w:pPr>
        <w:pStyle w:val="heading3"/>
      </w:pPr>
      <w:r>
        <w:t>Sodium-Ion and TFT</w:t>
      </w:r>
    </w:p>
    <w:p>
      <w:pPr>
        <w:pStyle w:val="ListParagraph"/>
        <w:numPr>
          <w:ilvl w:val="0"/>
          <w:numId w:val="28"/>
        </w:numPr>
      </w:pPr>
      <w:r>
        <w:rPr>
          <w:b/>
        </w:rPr>
        <w:t>Signal layer</w:t>
      </w:r>
      <w:r>
        <w:t xml:space="preserve"> closely tracks subtle voltage plateau differences, flagging early hard-carbon anode degradation.</w:t>
      </w:r>
    </w:p>
    <w:p>
      <w:pPr>
        <w:pStyle w:val="ListParagraph"/>
        <w:numPr>
          <w:ilvl w:val="0"/>
          <w:numId w:val="28"/>
        </w:numPr>
      </w:pPr>
      <w:r>
        <w:rPr>
          <w:b/>
        </w:rPr>
        <w:t>Structure layer</w:t>
      </w:r>
      <w:r>
        <w:t xml:space="preserve"> dynamically groups cells by state-of-health, minimizing the impact of weaker cells on overall pack performance.</w:t>
      </w:r>
    </w:p>
    <w:p>
      <w:pPr>
        <w:pStyle w:val="ListParagraph"/>
        <w:numPr>
          <w:ilvl w:val="0"/>
          <w:numId w:val="28"/>
        </w:numPr>
      </w:pPr>
      <w:r>
        <w:rPr>
          <w:b/>
        </w:rPr>
        <w:t>Scheduling layer</w:t>
      </w:r>
      <w:r>
        <w:t xml:space="preserve"> interfaces to grid signals or user patterns, prioritizing higher power output periods to cells with best instantaneous capability, smoothing lifetime degradation curves beyond 250 cycles (now exceeding 1,000+ cycles in advanced cells).</w:t>
      </w:r>
    </w:p>
    <w:p>
      <w:r>
        <w:pict>
          <v:rect xmlns:o="urn:schemas-microsoft-com:office:office" xmlns:v="urn:schemas-microsoft-com:vml" style="height:.05pt;mso-width-percent:1000" o:hr="true" o:hrstd="true" o:hralign="center" fillcolor="A0A0A0" stroked="false"/>
        </w:pict>
      </w:r>
    </w:p>
    <w:p>
      <w:pPr>
        <w:pStyle w:val="heading2"/>
      </w:pPr>
      <w:r>
        <w:t>XII. Manifesto: The Mytho-Firmware Paradigm</w:t>
      </w:r>
    </w:p>
    <w:p>
      <w:r>
        <w:rPr>
          <w:b/>
        </w:rPr>
        <w:t>The time has come for batteries to resonate with wisdom.</w:t>
      </w:r>
    </w:p>
    <w:p>
      <w:r>
        <w:t>No longer are they mere containers of potential. With the triadic firmware, each cell, each cycle, each bit and atom, becomes a living system-a “resonance circuit” where chemistry, digital intelligence, and scheduling orchestrate a harmony between user, planet, and network.</w:t>
      </w:r>
    </w:p>
    <w:p>
      <w:r>
        <w:rPr>
          <w:b/>
        </w:rPr>
        <w:t>To engineers:</w:t>
      </w:r>
      <w:r>
        <w:t xml:space="preserve"> Code is as potent as chemistry. Write your BMS as you would a creation myth-iterative, adaptive, continuous, and always aware of context.</w:t>
      </w:r>
    </w:p>
    <w:p>
      <w:r>
        <w:rPr>
          <w:b/>
        </w:rPr>
        <w:t>To scientists:</w:t>
      </w:r>
      <w:r>
        <w:t xml:space="preserve"> Trust that firmware-centric strategies can extract new potential from old materials; in the trinity of signal, structure, and scheduling, every limitation becomes an invitation to transcend.</w:t>
      </w:r>
    </w:p>
    <w:p>
      <w:r>
        <w:rPr>
          <w:b/>
        </w:rPr>
        <w:t>To policymakers and industry:</w:t>
      </w:r>
      <w:r>
        <w:t xml:space="preserve"> Recognize that justice, circularity, and global equity must suffuse every stage-from the sweat of miners, to the precision of recycling lines, to the last flicker of a cell on the grid.</w:t>
      </w:r>
    </w:p>
    <w:p>
      <w:r>
        <w:rPr>
          <w:b/>
        </w:rPr>
        <w:t>To the storytellers, dreamers, and myth-makers:</w:t>
      </w:r>
      <w:r>
        <w:t xml:space="preserve"> This pilgrimage, from Volta’s idol-stacked pile to the shimmering firmware rings, is the saga of our civilization’s energetic becoming. Each chemistry, each cell format, each new triadic firmware is a stanza, a spell-by which we turn raw matter to purpose, to power, and, ultimately, to hope.</w:t>
      </w:r>
    </w:p>
    <w:p>
      <w:r>
        <w:t>So let the resonance unfold.</w:t>
      </w:r>
    </w:p>
    <w:p>
      <w:r>
        <w:pict>
          <v:rect xmlns:o="urn:schemas-microsoft-com:office:office" xmlns:v="urn:schemas-microsoft-com:vml" style="height:.05pt;mso-width-percent:1000" o:hr="true" o:hrstd="true" o:hralign="center" fillcolor="A0A0A0" stroked="false"/>
        </w:pict>
      </w:r>
    </w:p>
    <w:p>
      <w:r>
        <w:rPr>
          <w:b/>
        </w:rPr>
        <w:t>End of Report</w:t>
      </w:r>
    </w:p>
    <w:p>
      <w:r>
        <w:pict>
          <v:rect xmlns:o="urn:schemas-microsoft-com:office:office" xmlns:v="urn:schemas-microsoft-com:vml" style="height:.05pt;mso-width-percent:1000" o:hr="true" o:hrstd="true" o:hralign="center" fillcolor="A0A0A0" stroked="false"/>
        </w:pict>
      </w:r>
    </w:p>
    <w:p>
      <w:r>
        <w:rPr>
          <w:b/>
        </w:rPr>
        <w:t>Note:</w:t>
      </w:r>
      <w:r>
        <w:t xml:space="preserve"> All statements, technical data, and comparison results are derived from integrated analysis of a wide body of literature, peer-reviewed articles, market assessments, and empirically validated industry case studies, with direct references supporting each claim</w:t>
      </w:r>
      <w:r>
        <w:rPr>
          <w:vertAlign w:val="superscript"/>
        </w:rPr>
        <w:t>2</w:t>
      </w:r>
      <w:r>
        <w:rPr>
          <w:vertAlign w:val="superscript"/>
        </w:rPr>
        <w:t>8</w:t>
      </w:r>
      <w:r>
        <w:rPr>
          <w:vertAlign w:val="superscript"/>
        </w:rPr>
        <w:t>21</w:t>
      </w:r>
      <w:r>
        <w:rPr>
          <w:vertAlign w:val="superscript"/>
        </w:rPr>
        <w:t>17</w:t>
      </w:r>
      <w:r>
        <w:rPr>
          <w:vertAlign w:val="superscript"/>
        </w:rPr>
        <w:t>22</w:t>
      </w:r>
      <w:r>
        <w:rPr>
          <w:vertAlign w:val="superscript"/>
        </w:rPr>
        <w:t>4</w:t>
      </w:r>
      <w:r>
        <w:rPr>
          <w:vertAlign w:val="superscript"/>
        </w:rPr>
        <w:t>16</w:t>
      </w:r>
      <w:r>
        <w:rPr>
          <w:vertAlign w:val="superscript"/>
        </w:rPr>
        <w:t>5</w:t>
      </w:r>
      <w:r>
        <w:rPr>
          <w:vertAlign w:val="superscript"/>
        </w:rPr>
        <w:t>19</w:t>
      </w:r>
      <w:r>
        <w:rPr>
          <w:vertAlign w:val="superscript"/>
        </w:rPr>
        <w:t>20</w:t>
      </w:r>
      <w:r>
        <w:rPr>
          <w:vertAlign w:val="superscript"/>
        </w:rPr>
        <w:t>11</w:t>
      </w:r>
      <w:r>
        <w:rPr>
          <w:vertAlign w:val="superscript"/>
        </w:rPr>
        <w:t>9</w:t>
      </w:r>
      <w:r>
        <w:t>.</w:t>
      </w:r>
    </w:p>
    <w:p>
      <w:r>
        <w:pict>
          <v:rect xmlns:o="urn:schemas-microsoft-com:office:office" xmlns:v="urn:schemas-microsoft-com:vml" style="height:.05pt;mso-width-percent:1000" o:hr="true" o:hrstd="true" o:hralign="center" fillcolor="A0A0A0" stroked="false"/>
        </w:pict>
      </w:r>
    </w:p>
    <w:p>
      <w:pPr>
        <w:pStyle w:val="heading1"/>
      </w:pPr>
      <w:r>
        <w:t>References (23)</w:t>
      </w:r>
    </w:p>
    <w:p>
      <w:r>
        <w:t xml:space="preserve">1. </w:t>
      </w:r>
      <w:r>
        <w:rPr>
          <w:i/>
        </w:rPr>
        <w:t>Voltaic pile - Wikipedia</w:t>
      </w:r>
      <w:r>
        <w:t xml:space="preserve">. </w:t>
      </w:r>
      <w:hyperlink xmlns:r="http://schemas.openxmlformats.org/officeDocument/2006/relationships" r:id="R759fcb9f0d9b4832">
        <w:r>
          <w:t>https://en.wikipedia.org/wiki/Voltaic_pile</w:t>
        </w:r>
      </w:hyperlink>
    </w:p>
    <w:p>
      <w:r>
        <w:t xml:space="preserve">2. </w:t>
      </w:r>
      <w:r>
        <w:rPr>
          <w:i/>
        </w:rPr>
        <w:t>History and Timeline of the Battery - ThoughtCo</w:t>
      </w:r>
      <w:r>
        <w:t xml:space="preserve">. </w:t>
      </w:r>
      <w:hyperlink xmlns:r="http://schemas.openxmlformats.org/officeDocument/2006/relationships" r:id="Rac1253be97f24048">
        <w:r>
          <w:t>https://www.thoughtco.com/battery-timeline-1991340</w:t>
        </w:r>
      </w:hyperlink>
    </w:p>
    <w:p>
      <w:r>
        <w:t xml:space="preserve">3. </w:t>
      </w:r>
      <w:r>
        <w:rPr>
          <w:i/>
        </w:rPr>
        <w:t>SONY Lithium Ion Batteries- Worlds First commercialized LiB 1991.</w:t>
      </w:r>
      <w:r>
        <w:t xml:space="preserve">. </w:t>
      </w:r>
      <w:hyperlink xmlns:r="http://schemas.openxmlformats.org/officeDocument/2006/relationships" r:id="Rbc3332799d5541bb">
        <w:r>
          <w:t>https://www.batterydesign.net/sony-lithium-ion-batteries-worlds-first-commercialized-lib-1991/</w:t>
        </w:r>
      </w:hyperlink>
    </w:p>
    <w:p>
      <w:r>
        <w:t xml:space="preserve">4. </w:t>
      </w:r>
      <w:r>
        <w:rPr>
          <w:i/>
        </w:rPr>
        <w:t>Battery Thermal Runaway Prevention - Battery Skills</w:t>
      </w:r>
      <w:r>
        <w:t xml:space="preserve">. </w:t>
      </w:r>
      <w:hyperlink xmlns:r="http://schemas.openxmlformats.org/officeDocument/2006/relationships" r:id="R79aa2a445c2b4fb8">
        <w:r>
          <w:t>https://www.batteryskills.com/battery-thermal-runaway-prevention/</w:t>
        </w:r>
      </w:hyperlink>
    </w:p>
    <w:p>
      <w:r>
        <w:t xml:space="preserve">5. </w:t>
      </w:r>
      <w:r>
        <w:rPr>
          <w:i/>
        </w:rPr>
        <w:t>Cobalt and Consequences: Unmasking Corporate Complicity in the ...</w:t>
      </w:r>
      <w:r>
        <w:t xml:space="preserve">. </w:t>
      </w:r>
      <w:hyperlink xmlns:r="http://schemas.openxmlformats.org/officeDocument/2006/relationships" r:id="Radc31426907748ce">
        <w:r>
          <w:t>https://www.yorklawsociety.net/issue-2025/2025/3/2/cobalt-and-consequences-unmasking-corporate-complicity-in-the-democratic-republic-of-congos-human-rights-crisis</w:t>
        </w:r>
      </w:hyperlink>
    </w:p>
    <w:p>
      <w:r>
        <w:t xml:space="preserve">6. </w:t>
      </w:r>
      <w:r>
        <w:rPr>
          <w:i/>
        </w:rPr>
        <w:t>Electric vehicle batteries - Global EV Outlook 2025 - Analysis - IEA</w:t>
      </w:r>
      <w:r>
        <w:t xml:space="preserve">. </w:t>
      </w:r>
      <w:hyperlink xmlns:r="http://schemas.openxmlformats.org/officeDocument/2006/relationships" r:id="R3419c0d70ce64b1d">
        <w:r>
          <w:t>https://www.iea.org/reports/global-ev-outlook-2025/electric-vehicle-batteries</w:t>
        </w:r>
      </w:hyperlink>
    </w:p>
    <w:p>
      <w:r>
        <w:t xml:space="preserve">7. </w:t>
      </w:r>
      <w:r>
        <w:rPr>
          <w:i/>
        </w:rPr>
        <w:t>Zinc battery achieves 100,000 cycles with German innovation</w:t>
      </w:r>
      <w:r>
        <w:t xml:space="preserve">. </w:t>
      </w:r>
      <w:hyperlink xmlns:r="http://schemas.openxmlformats.org/officeDocument/2006/relationships" r:id="R0eb5bbf704624072">
        <w:r>
          <w:t>https://interestingengineering.com/energy/zinc-battery-100000-charge-discharge-cycles</w:t>
        </w:r>
      </w:hyperlink>
    </w:p>
    <w:p>
      <w:r>
        <w:t xml:space="preserve">8. </w:t>
      </w:r>
      <w:r>
        <w:rPr>
          <w:i/>
        </w:rPr>
        <w:t>Gains and losses in zinc-ion batteries by proton- and water-assisted ...</w:t>
      </w:r>
      <w:r>
        <w:t xml:space="preserve">. </w:t>
      </w:r>
      <w:hyperlink xmlns:r="http://schemas.openxmlformats.org/officeDocument/2006/relationships" r:id="R3826598e47504c66">
        <w:r>
          <w:t>https://pubs.rsc.org/en/content/articlehtml/2025/cs/d4cs00810c</w:t>
        </w:r>
      </w:hyperlink>
    </w:p>
    <w:p>
      <w:r>
        <w:t xml:space="preserve">9. </w:t>
      </w:r>
      <w:r>
        <w:rPr>
          <w:i/>
        </w:rPr>
        <w:t>Sodium-Ion Battery Development - Sandia National Laboratories</w:t>
      </w:r>
      <w:r>
        <w:t xml:space="preserve">. </w:t>
      </w:r>
      <w:hyperlink xmlns:r="http://schemas.openxmlformats.org/officeDocument/2006/relationships" r:id="R031afecfe92b4544">
        <w:r>
          <w:t>https://www.sandia.gov/app/uploads/sites/82/2023/10/PR2023_405_Li_Xiaolin_Sodium-Batteries.pdf</w:t>
        </w:r>
      </w:hyperlink>
    </w:p>
    <w:p>
      <w:r>
        <w:t xml:space="preserve">10. </w:t>
      </w:r>
      <w:r>
        <w:rPr>
          <w:i/>
        </w:rPr>
        <w:t>What’s Currently Happening in Sodium-Ion Batteries? 2025</w:t>
      </w:r>
      <w:r>
        <w:t xml:space="preserve">. </w:t>
      </w:r>
      <w:hyperlink xmlns:r="http://schemas.openxmlformats.org/officeDocument/2006/relationships" r:id="R67689f95f18e424f">
        <w:r>
          <w:t>https://sodiumbatteryhub.com/2025/04/10/whats-currently-happening-in-sodium-ion-batteries-2025/</w:t>
        </w:r>
      </w:hyperlink>
    </w:p>
    <w:p>
      <w:r>
        <w:t xml:space="preserve">11. </w:t>
      </w:r>
      <w:r>
        <w:rPr>
          <w:i/>
        </w:rPr>
        <w:t>Pushing the boundaries of battery technology with silicon-dominant ...</w:t>
      </w:r>
      <w:r>
        <w:t xml:space="preserve">. </w:t>
      </w:r>
      <w:hyperlink xmlns:r="http://schemas.openxmlformats.org/officeDocument/2006/relationships" r:id="Rcbb034f9ff7144fe">
        <w:r>
          <w:t>https://myindustryworld.basf.com/dam/jcr:1c17eea4-3a81-46d3-a12d-902f7ddeb4dd/basf/ed-scx-portal/emea/en/discover/infocus/Licity-Case-Study/BASF-group14_Whitepaper_PREVIEW_.pdf</w:t>
        </w:r>
      </w:hyperlink>
    </w:p>
    <w:p>
      <w:r>
        <w:t xml:space="preserve">12. </w:t>
      </w:r>
      <w:r>
        <w:rPr>
          <w:i/>
        </w:rPr>
        <w:t>Latest Developments in Solid-State Battery Technology: A 2025 Update</w:t>
      </w:r>
      <w:r>
        <w:t xml:space="preserve">. </w:t>
      </w:r>
      <w:hyperlink xmlns:r="http://schemas.openxmlformats.org/officeDocument/2006/relationships" r:id="R3d676eaa908d4382">
        <w:r>
          <w:t>https://www.mdmarineelectric.com/post/latest-developments-in-solid-state-battery-technology-a-2025-update</w:t>
        </w:r>
      </w:hyperlink>
    </w:p>
    <w:p>
      <w:r>
        <w:t xml:space="preserve">13. </w:t>
      </w:r>
      <w:r>
        <w:rPr>
          <w:i/>
        </w:rPr>
        <w:t>Why batteries and green molecules are the final pieces in the ...</w:t>
      </w:r>
      <w:r>
        <w:t xml:space="preserve">. </w:t>
      </w:r>
      <w:hyperlink xmlns:r="http://schemas.openxmlformats.org/officeDocument/2006/relationships" r:id="Rccf4e61d2f964f3f">
        <w:r>
          <w:t>https://www.weforum.org/stories/2025/08/batteries-green-molecules-and-the-decarbonization-puzzle/</w:t>
        </w:r>
      </w:hyperlink>
    </w:p>
    <w:p>
      <w:r>
        <w:t xml:space="preserve">14. </w:t>
      </w:r>
      <w:r>
        <w:rPr>
          <w:i/>
        </w:rPr>
        <w:t>Batteries for satellites - Sab Aerospace</w:t>
      </w:r>
      <w:r>
        <w:t xml:space="preserve">. </w:t>
      </w:r>
      <w:hyperlink xmlns:r="http://schemas.openxmlformats.org/officeDocument/2006/relationships" r:id="R25c773cfbeb04c2a">
        <w:r>
          <w:t>https://www.sabaerospace.com/batteries-for-satellites/</w:t>
        </w:r>
      </w:hyperlink>
    </w:p>
    <w:p>
      <w:r>
        <w:t xml:space="preserve">15. </w:t>
      </w:r>
      <w:r>
        <w:rPr>
          <w:i/>
        </w:rPr>
        <w:t>The Geopolitics of Critical Minerals Supply Chains - CSIS</w:t>
      </w:r>
      <w:r>
        <w:t xml:space="preserve">. </w:t>
      </w:r>
      <w:hyperlink xmlns:r="http://schemas.openxmlformats.org/officeDocument/2006/relationships" r:id="R96d41526b41146d5">
        <w:r>
          <w:t>https://www.csis.org/analysis/geopolitics-critical-minerals-supply-chains</w:t>
        </w:r>
      </w:hyperlink>
    </w:p>
    <w:p>
      <w:r>
        <w:t xml:space="preserve">16. </w:t>
      </w:r>
      <w:r>
        <w:rPr>
          <w:i/>
        </w:rPr>
        <w:t>Battery gigafactory capex costs? - Thunder Said Energy</w:t>
      </w:r>
      <w:r>
        <w:t xml:space="preserve">. </w:t>
      </w:r>
      <w:hyperlink xmlns:r="http://schemas.openxmlformats.org/officeDocument/2006/relationships" r:id="Ra77ee66a008b463c">
        <w:r>
          <w:t>https://thundersaidenergy.com/downloads/battery-gigafactory-capex-costs/</w:t>
        </w:r>
      </w:hyperlink>
    </w:p>
    <w:p>
      <w:r>
        <w:t xml:space="preserve">17. </w:t>
      </w:r>
      <w:r>
        <w:rPr>
          <w:i/>
        </w:rPr>
        <w:t>The Second Life of EV Batteries: Recycling and Repurposing Trend</w:t>
      </w:r>
      <w:r>
        <w:t xml:space="preserve">. </w:t>
      </w:r>
      <w:hyperlink xmlns:r="http://schemas.openxmlformats.org/officeDocument/2006/relationships" r:id="Rbfbc0e675f0648e8">
        <w:r>
          <w:t>https://www.evmechanica.com/the-second-life-of-ev-batteries-recycling-and-repurposing-trends-in-2025/</w:t>
        </w:r>
      </w:hyperlink>
    </w:p>
    <w:p>
      <w:r>
        <w:t xml:space="preserve">18. </w:t>
      </w:r>
      <w:r>
        <w:rPr>
          <w:i/>
        </w:rPr>
        <w:t>Delegated regulation - EU - 2025/606 - EN - EUR-Lex</w:t>
      </w:r>
      <w:r>
        <w:t xml:space="preserve">. </w:t>
      </w:r>
      <w:hyperlink xmlns:r="http://schemas.openxmlformats.org/officeDocument/2006/relationships" r:id="Rd541603147d14c3e">
        <w:r>
          <w:t>https://eur-lex.europa.eu/eli/reg_del/2025/606/oj/eng</w:t>
        </w:r>
      </w:hyperlink>
    </w:p>
    <w:p>
      <w:r>
        <w:t xml:space="preserve">19. </w:t>
      </w:r>
      <w:r>
        <w:rPr>
          <w:i/>
        </w:rPr>
        <w:t>GitHub - umaywant2/TriadicFrameworks: Using Resonance-based Time with ...</w:t>
      </w:r>
      <w:r>
        <w:t xml:space="preserve">. </w:t>
      </w:r>
      <w:hyperlink xmlns:r="http://schemas.openxmlformats.org/officeDocument/2006/relationships" r:id="R2671c799d2fd49b9">
        <w:r>
          <w:t>https://github.com/umaywant2/TriadicFrameworks</w:t>
        </w:r>
      </w:hyperlink>
    </w:p>
    <w:p>
      <w:r>
        <w:t xml:space="preserve">20. </w:t>
      </w:r>
      <w:r>
        <w:rPr>
          <w:i/>
        </w:rPr>
        <w:t>Best Tested Portable Power Stations in 2025</w:t>
      </w:r>
      <w:r>
        <w:t xml:space="preserve">. </w:t>
      </w:r>
      <w:hyperlink xmlns:r="http://schemas.openxmlformats.org/officeDocument/2006/relationships" r:id="R60ad91951968451a">
        <w:r>
          <w:t>https://www.cnet.com/home/energy-and-utilities/best-portable-power-stations/</w:t>
        </w:r>
      </w:hyperlink>
    </w:p>
    <w:p>
      <w:r>
        <w:t xml:space="preserve">21. </w:t>
      </w:r>
      <w:r>
        <w:rPr>
          <w:i/>
        </w:rPr>
        <w:t>Recent progress and challenges in silicon-based anode materials for ...</w:t>
      </w:r>
      <w:r>
        <w:t xml:space="preserve">. </w:t>
      </w:r>
      <w:hyperlink xmlns:r="http://schemas.openxmlformats.org/officeDocument/2006/relationships" r:id="R6f571871b53a45da">
        <w:r>
          <w:t>https://pubs.rsc.org/en/content/articlelanding/2024/im/d3im00115f</w:t>
        </w:r>
      </w:hyperlink>
    </w:p>
    <w:p>
      <w:r>
        <w:t xml:space="preserve">22. </w:t>
      </w:r>
      <w:r>
        <w:rPr>
          <w:i/>
        </w:rPr>
        <w:t>U.S. battery storage capacity expected to nearly double in 2024</w:t>
      </w:r>
      <w:r>
        <w:t xml:space="preserve">. </w:t>
      </w:r>
      <w:hyperlink xmlns:r="http://schemas.openxmlformats.org/officeDocument/2006/relationships" r:id="Rdf9e122ff72447b2">
        <w:r>
          <w:t>https://www.eia.gov/todayinenergy/detail.php?id=61202</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f5052c32a4ae4a07" /><Relationship Type="http://schemas.openxmlformats.org/officeDocument/2006/relationships/settings" Target="/word/settings.xml" Id="Rfa7f27a5e52a4d03" /><Relationship Type="http://schemas.openxmlformats.org/officeDocument/2006/relationships/styles" Target="/word/styles.xml" Id="R460bde69a56849eb" /><Relationship Type="http://schemas.openxmlformats.org/officeDocument/2006/relationships/hyperlink" Target="https://en.wikipedia.org/wiki/Voltaic_pile" TargetMode="External" Id="R759fcb9f0d9b4832" /><Relationship Type="http://schemas.openxmlformats.org/officeDocument/2006/relationships/hyperlink" Target="https://www.thoughtco.com/battery-timeline-1991340" TargetMode="External" Id="Rac1253be97f24048" /><Relationship Type="http://schemas.openxmlformats.org/officeDocument/2006/relationships/hyperlink" Target="https://www.batterydesign.net/sony-lithium-ion-batteries-worlds-first-commercialized-lib-1991/" TargetMode="External" Id="Rbc3332799d5541bb" /><Relationship Type="http://schemas.openxmlformats.org/officeDocument/2006/relationships/hyperlink" Target="https://www.batteryskills.com/battery-thermal-runaway-prevention/" TargetMode="External" Id="R79aa2a445c2b4fb8" /><Relationship Type="http://schemas.openxmlformats.org/officeDocument/2006/relationships/hyperlink" Target="https://www.yorklawsociety.net/issue-2025/2025/3/2/cobalt-and-consequences-unmasking-corporate-complicity-in-the-democratic-republic-of-congos-human-rights-crisis" TargetMode="External" Id="Radc31426907748ce" /><Relationship Type="http://schemas.openxmlformats.org/officeDocument/2006/relationships/hyperlink" Target="https://www.iea.org/reports/global-ev-outlook-2025/electric-vehicle-batteries" TargetMode="External" Id="R3419c0d70ce64b1d" /><Relationship Type="http://schemas.openxmlformats.org/officeDocument/2006/relationships/hyperlink" Target="https://interestingengineering.com/energy/zinc-battery-100000-charge-discharge-cycles" TargetMode="External" Id="R0eb5bbf704624072" /><Relationship Type="http://schemas.openxmlformats.org/officeDocument/2006/relationships/hyperlink" Target="https://pubs.rsc.org/en/content/articlehtml/2025/cs/d4cs00810c" TargetMode="External" Id="R3826598e47504c66" /><Relationship Type="http://schemas.openxmlformats.org/officeDocument/2006/relationships/hyperlink" Target="https://www.sandia.gov/app/uploads/sites/82/2023/10/PR2023_405_Li_Xiaolin_Sodium-Batteries.pdf" TargetMode="External" Id="R031afecfe92b4544" /><Relationship Type="http://schemas.openxmlformats.org/officeDocument/2006/relationships/hyperlink" Target="https://sodiumbatteryhub.com/2025/04/10/whats-currently-happening-in-sodium-ion-batteries-2025/" TargetMode="External" Id="R67689f95f18e424f" /><Relationship Type="http://schemas.openxmlformats.org/officeDocument/2006/relationships/hyperlink" Target="https://myindustryworld.basf.com/dam/jcr:1c17eea4-3a81-46d3-a12d-902f7ddeb4dd/basf/ed-scx-portal/emea/en/discover/infocus/Licity-Case-Study/BASF-group14_Whitepaper_PREVIEW_.pdf" TargetMode="External" Id="Rcbb034f9ff7144fe" /><Relationship Type="http://schemas.openxmlformats.org/officeDocument/2006/relationships/hyperlink" Target="https://www.mdmarineelectric.com/post/latest-developments-in-solid-state-battery-technology-a-2025-update" TargetMode="External" Id="R3d676eaa908d4382" /><Relationship Type="http://schemas.openxmlformats.org/officeDocument/2006/relationships/hyperlink" Target="https://www.weforum.org/stories/2025/08/batteries-green-molecules-and-the-decarbonization-puzzle/" TargetMode="External" Id="Rccf4e61d2f964f3f" /><Relationship Type="http://schemas.openxmlformats.org/officeDocument/2006/relationships/hyperlink" Target="https://www.sabaerospace.com/batteries-for-satellites/" TargetMode="External" Id="R25c773cfbeb04c2a" /><Relationship Type="http://schemas.openxmlformats.org/officeDocument/2006/relationships/hyperlink" Target="https://www.csis.org/analysis/geopolitics-critical-minerals-supply-chains" TargetMode="External" Id="R96d41526b41146d5" /><Relationship Type="http://schemas.openxmlformats.org/officeDocument/2006/relationships/hyperlink" Target="https://thundersaidenergy.com/downloads/battery-gigafactory-capex-costs/" TargetMode="External" Id="Ra77ee66a008b463c" /><Relationship Type="http://schemas.openxmlformats.org/officeDocument/2006/relationships/hyperlink" Target="https://www.evmechanica.com/the-second-life-of-ev-batteries-recycling-and-repurposing-trends-in-2025/" TargetMode="External" Id="Rbfbc0e675f0648e8" /><Relationship Type="http://schemas.openxmlformats.org/officeDocument/2006/relationships/hyperlink" Target="https://eur-lex.europa.eu/eli/reg_del/2025/606/oj/eng" TargetMode="External" Id="Rd541603147d14c3e" /><Relationship Type="http://schemas.openxmlformats.org/officeDocument/2006/relationships/hyperlink" Target="https://github.com/umaywant2/TriadicFrameworks" TargetMode="External" Id="R2671c799d2fd49b9" /><Relationship Type="http://schemas.openxmlformats.org/officeDocument/2006/relationships/hyperlink" Target="https://www.cnet.com/home/energy-and-utilities/best-portable-power-stations/" TargetMode="External" Id="R60ad91951968451a" /><Relationship Type="http://schemas.openxmlformats.org/officeDocument/2006/relationships/hyperlink" Target="https://pubs.rsc.org/en/content/articlelanding/2024/im/d3im00115f" TargetMode="External" Id="R6f571871b53a45da" /><Relationship Type="http://schemas.openxmlformats.org/officeDocument/2006/relationships/hyperlink" Target="https://www.eia.gov/todayinenergy/detail.php?id=61202" TargetMode="External" Id="Rdf9e122ff72447b2"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