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80"/>
        <w:jc w:val="center"/>
        <w:rPr/>
      </w:pPr>
      <w:r>
        <w:rPr>
          <w:b/>
          <w:bCs/>
          <w:color w:val="1F4788"/>
          <w:sz w:val="40"/>
          <w:szCs w:val="40"/>
        </w:rPr>
        <w:t>Umbane Token Architecture</w:t>
      </w:r>
    </w:p>
    <w:p>
      <w:pPr>
        <w:pStyle w:val="Normal"/>
        <w:spacing w:before="0" w:after="240"/>
        <w:jc w:val="center"/>
        <w:rPr/>
      </w:pPr>
      <w:r>
        <w:rPr>
          <w:color w:val="666666"/>
          <w:sz w:val="28"/>
          <w:szCs w:val="28"/>
        </w:rPr>
        <w:t>Consolidated Technical Specification</w:t>
      </w:r>
    </w:p>
    <w:p>
      <w:pPr>
        <w:pStyle w:val="Normal"/>
        <w:spacing w:before="0" w:after="720"/>
        <w:jc w:val="center"/>
        <w:rPr/>
      </w:pPr>
      <w:r>
        <w:rPr>
          <w:i/>
          <w:iCs/>
          <w:sz w:val="22"/>
          <w:szCs w:val="22"/>
        </w:rPr>
        <w:t>Resolving D-REC Integration, aC/mJ Complexity, and UMB Wrapper Architecture</w:t>
      </w:r>
    </w:p>
    <w:p>
      <w:pPr>
        <w:pStyle w:val="Heading1"/>
        <w:rPr/>
      </w:pPr>
      <w:r>
        <w:rPr/>
        <w:t>Executive Summary</w:t>
      </w:r>
    </w:p>
    <w:p>
      <w:pPr>
        <w:pStyle w:val="Normal"/>
        <w:spacing w:before="0" w:after="240"/>
        <w:rPr/>
      </w:pPr>
      <w:r>
        <w:rPr/>
        <w:t>This document consolidates Umbane's token architecture to resolve three critical issues identified in the strategic pathway analysis: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D-REC Gap</w:t>
      </w:r>
      <w:r>
        <w:rPr/>
        <w:t>: The strategic pathway extensively discusses D-REC (Distributed Renewable Energy Certificates) as precedent but never analyzes it as an actual implementation pathway.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aC/mJ Token Complexity</w:t>
      </w:r>
      <w:r>
        <w:rPr/>
        <w:t>: The current system uses both mJ (millijoule, energy-based) and aC (attested carbon, emissions-based) tokens with unclear relationships and conversion mechanics.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>UMB Wrapper Clarity</w:t>
      </w:r>
      <w:r>
        <w:rPr/>
        <w:t>: The UmbaneToken (UMB) governance token deployed on Amoy Testnet needs clear specification of how it wraps mJ/aC subtokens and integrates I-REC/D-REC certification.</w:t>
      </w:r>
    </w:p>
    <w:tbl>
      <w:tblPr>
        <w:tblW w:w="9360" w:type="dxa"/>
        <w:jc w:val="left"/>
        <w:tblInd w:w="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B900"/>
              <w:left w:val="single" w:sz="2" w:space="0" w:color="FFB900"/>
              <w:bottom w:val="single" w:sz="2" w:space="0" w:color="FFB900"/>
              <w:right w:val="single" w:sz="2" w:space="0" w:color="FFB900"/>
            </w:tcBorders>
            <w:shd w:fill="FFF4C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D83B01"/>
                <w:sz w:val="28"/>
                <w:szCs w:val="28"/>
              </w:rPr>
              <w:t xml:space="preserve">⚠️ </w:t>
            </w:r>
            <w:r>
              <w:rPr>
                <w:b/>
                <w:bCs/>
                <w:color w:val="D83B01"/>
                <w:sz w:val="28"/>
                <w:szCs w:val="28"/>
              </w:rPr>
              <w:t>CRITICAL FINDING</w:t>
            </w:r>
          </w:p>
          <w:p>
            <w:pPr>
              <w:pStyle w:val="Normal"/>
              <w:spacing w:before="120" w:after="0"/>
              <w:rPr/>
            </w:pPr>
            <w:r>
              <w:rPr/>
              <w:t>The D-REC pathway offers a superior strategic position compared to standard I-REC aggregation. D-REC is specifically designed for distributed renewable energy devices (&lt;250kW), allows aggregator-led registration, and denominates certificates in kWh rather than MWh—perfectly aligned with Umbane's household solar use case. By positioning as a D-REC aggregator rather than generic I-REC registrant, Umbane gains immediate regulatory legitimacy while maintaining technical flexibility for blockchain tokenization.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Heading2"/>
        <w:rPr/>
      </w:pPr>
      <w:r>
        <w:rPr/>
        <w:t>Recommended Architecture</w:t>
      </w:r>
    </w:p>
    <w:p>
      <w:pPr>
        <w:pStyle w:val="Normal"/>
        <w:spacing w:before="0" w:after="240"/>
        <w:rPr/>
      </w:pPr>
      <w:r>
        <w:rPr>
          <w:b/>
          <w:bCs/>
          <w:sz w:val="26"/>
          <w:szCs w:val="26"/>
        </w:rPr>
        <w:t>UMB → D-REC → mJ/aC Dual Token Model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Base Layer</w:t>
      </w:r>
      <w:r>
        <w:rPr/>
        <w:t>: D-REC certificates (kWh-denominated, I-REC-backed)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Token Layer 1</w:t>
      </w:r>
      <w:r>
        <w:rPr/>
        <w:t>: mJ tokens (energy production attestation, 1 mJ = 1 Wh measured)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Token Layer 2</w:t>
      </w:r>
      <w:r>
        <w:rPr/>
        <w:t>: aC tokens (carbon offset credits, derived from mJ via emission factors)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Governance Layer</w:t>
      </w:r>
      <w:r>
        <w:rPr/>
        <w:t>: UMB governance token (deployed on Amoy, controls emission factors, fee structure, DAO operations)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1. D-REC Pathway Analysis</w:t>
      </w:r>
    </w:p>
    <w:p>
      <w:pPr>
        <w:pStyle w:val="Heading2"/>
        <w:rPr/>
      </w:pPr>
      <w:r>
        <w:rPr/>
        <w:t>1.1 What is D-REC?</w:t>
      </w:r>
    </w:p>
    <w:p>
      <w:pPr>
        <w:pStyle w:val="Normal"/>
        <w:spacing w:before="0" w:after="240"/>
        <w:rPr/>
      </w:pPr>
      <w:r>
        <w:rPr/>
        <w:t>D-REC (Distributed Renewable Energy Certificates) is a specialization of the I-REC Standard specifically designed for small-scale, distributed renewable energy systems. Developed by the I-REC Standard Foundation in collaboration with Energy for Growth Hub, D-REC addresses the unique challenges of certifying energy production from thousands of small devices (solar home systems, mini-grids) that traditional MWh-based I-RECs cannot efficiently handle.</w:t>
      </w:r>
    </w:p>
    <w:p>
      <w:pPr>
        <w:pStyle w:val="Heading3"/>
        <w:rPr/>
      </w:pPr>
      <w:r>
        <w:rPr/>
        <w:t>Key D-REC Characteristics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kWh Denomination</w:t>
      </w:r>
      <w:r>
        <w:rPr/>
        <w:t>: D-RECs are issued in kilowatt-hours (kWh), not megawatt-hours (MWh) like standard I-RECs. This makes them suitable for household-scale generation (3-10 kW systems producing 10-50 kWh/day).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Aggregator Model</w:t>
      </w:r>
      <w:r>
        <w:rPr/>
        <w:t>: D-REC explicitly supports aggregators who collect and validate data from multiple distributed devices. Aggregators act as the registrant on behalf of thousands of prosumers.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Post-Commissioning Validation</w:t>
      </w:r>
      <w:r>
        <w:rPr/>
        <w:t>: Unlike traditional I-REC which requires pre-registration site visits, D-REC allows post-commissioning validation based on remote monitoring data.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Digital Metering</w:t>
      </w:r>
      <w:r>
        <w:rPr/>
        <w:t>: D-REC assumes digital metering infrastructure (IoT devices, PAYGO platforms) already exists—exactly what Umbane provides via ESP32 + CT clamp sensors.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I-REC Compatible</w:t>
      </w:r>
      <w:r>
        <w:rPr/>
        <w:t>: D-RECs are issued under I-REC Standard governance, making them fully compatible with I-REC registries, reporting, and retirement mechanisms.</w:t>
      </w:r>
    </w:p>
    <w:p>
      <w:pPr>
        <w:pStyle w:val="Heading2"/>
        <w:rPr/>
      </w:pPr>
      <w:r>
        <w:rPr/>
        <w:t>1.2 Why D-REC Was Omitted from Pathway Analysis</w:t>
      </w:r>
    </w:p>
    <w:p>
      <w:pPr>
        <w:pStyle w:val="Normal"/>
        <w:spacing w:before="0" w:after="240"/>
        <w:rPr/>
      </w:pPr>
      <w:r>
        <w:rPr/>
        <w:t>The strategic pathway document mentions D-REC extensively (lines 47-61, referencing the Energy for Growth Hub gap analysis), but treats it as 'precedent' or 'proof of concept' rather than a concrete implementation pathway. This omission occurred because: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D-REC pilot status was unclear</w:t>
      </w:r>
      <w:r>
        <w:rPr/>
        <w:t xml:space="preserve"> — as of March 2025, D-REC remains in pilot/consultation phase with limited geographic rollout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GCC availability unknown</w:t>
      </w:r>
      <w:r>
        <w:rPr/>
        <w:t xml:space="preserve"> — whether GCC (Green Certificate Company, I-REC's default issuer for South Africa) offers D-REC issuance was unverified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Standard I-REC seemed more mature</w:t>
      </w:r>
      <w:r>
        <w:rPr/>
        <w:t xml:space="preserve"> — the analysis defaulted to 'aggregated I-REC registration' as the proven path</w:t>
      </w:r>
    </w:p>
    <w:p>
      <w:pPr>
        <w:pStyle w:val="Normal"/>
        <w:spacing w:before="0" w:after="360"/>
        <w:rPr/>
      </w:pPr>
      <w:r>
        <w:rPr>
          <w:b/>
          <w:bCs/>
          <w:color w:val="C00000"/>
        </w:rPr>
        <w:t>However, upon closer examination, D-REC is precisely the pathway Umbane should pursue. It was designed for exactly Umbane's use case and removes the friction of adapting standard I-REC (MWh-based, utility-scale) to household prosumers.</w:t>
      </w:r>
    </w:p>
    <w:p>
      <w:pPr>
        <w:pStyle w:val="Heading2"/>
        <w:rPr/>
      </w:pPr>
      <w:r>
        <w:rPr/>
        <w:t>1.3 D-REC vs Standard I-REC Comparison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788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788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Standard I-REC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788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D-REC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Denomination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MWh (1,000 kWh)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F4E4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kWh (household scale)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Typical Scale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/>
              <w:t>Utility/commercial (1+ MW)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F4E4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Distributed (1-100 kW)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Pre-registration site visits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F4E4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Post-commissioning remote monitoring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Aggregation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/>
              <w:t>Allowed but not optimized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F4E4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Designed for aggregators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Umbane Fit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Square peg, round hole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F4E4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Perfect alignment ✓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Heading2"/>
        <w:rPr/>
      </w:pPr>
      <w:r>
        <w:rPr/>
        <w:t>1.4 Recommended Action: Pursue D-REC Pathway</w:t>
      </w:r>
    </w:p>
    <w:p>
      <w:pPr>
        <w:pStyle w:val="Normal"/>
        <w:spacing w:before="0" w:after="240"/>
        <w:rPr/>
      </w:pPr>
      <w:r>
        <w:rPr>
          <w:b/>
          <w:bCs/>
        </w:rPr>
        <w:t>Immediate steps: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Contact GCC Sheffield</w:t>
      </w:r>
      <w:r>
        <w:rPr/>
        <w:t xml:space="preserve"> — Email issuer@greencertificate.com to inquire about D-REC issuance availability in South Africa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Register as D-REC Aggregator</w:t>
      </w:r>
      <w:r>
        <w:rPr/>
        <w:t xml:space="preserve"> — Apply under aggregator model (vs individual device registrant)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>Update Strategic Documents</w:t>
      </w:r>
      <w:r>
        <w:rPr/>
        <w:t xml:space="preserve"> — Replace 'I-REC aggregated registration' with 'D-REC aggregator pathway' as primary approach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2. Token Architecture Consolidation</w:t>
      </w:r>
    </w:p>
    <w:p>
      <w:pPr>
        <w:pStyle w:val="Heading2"/>
        <w:rPr/>
      </w:pPr>
      <w:r>
        <w:rPr/>
        <w:t>2.1 Current Complexity Problem</w:t>
      </w:r>
    </w:p>
    <w:p>
      <w:pPr>
        <w:pStyle w:val="Normal"/>
        <w:spacing w:before="0" w:after="240"/>
        <w:rPr/>
      </w:pPr>
      <w:r>
        <w:rPr/>
        <w:t>The Umbane system currently references multiple token types without clear relationships: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mJ (millijoule)</w:t>
      </w:r>
      <w:r>
        <w:rPr/>
        <w:t xml:space="preserve"> — Energy production token (1 mJ = 1 Wh produced and measured)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aC (attested carbon)</w:t>
      </w:r>
      <w:r>
        <w:rPr/>
        <w:t xml:space="preserve"> — Carbon offset credit token (derived from mJ via emission factor)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UMBANE</w:t>
      </w:r>
      <w:r>
        <w:rPr/>
        <w:t xml:space="preserve"> — Governance token (controls DAO, staking, liquidity mining)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UMB (deployed on Amoy)</w:t>
      </w:r>
      <w:r>
        <w:rPr/>
        <w:t xml:space="preserve"> — Testnet governance token, relationship to mJ/aC unclear</w:t>
      </w:r>
    </w:p>
    <w:p>
      <w:pPr>
        <w:pStyle w:val="Normal"/>
        <w:spacing w:before="0" w:after="360"/>
        <w:rPr/>
      </w:pPr>
      <w:r>
        <w:rPr>
          <w:i/>
          <w:iCs/>
        </w:rPr>
        <w:t>Issue: Documentation uses 'UMBANE' and 'UMB' inconsistently, and it's unclear whether mJ and aC are separate ERC-20 tokens, NFTs, or accounting units within a wrapper contract.</w:t>
      </w:r>
    </w:p>
    <w:p>
      <w:pPr>
        <w:pStyle w:val="Heading2"/>
        <w:rPr/>
      </w:pPr>
      <w:r>
        <w:rPr/>
        <w:t>2.2 Clarified Token Model</w:t>
      </w:r>
    </w:p>
    <w:p>
      <w:pPr>
        <w:pStyle w:val="Heading3"/>
        <w:rPr/>
      </w:pPr>
      <w:r>
        <w:rPr/>
        <w:t>Token Hierarchy</w:t>
      </w:r>
    </w:p>
    <w:tbl>
      <w:tblPr>
        <w:tblW w:w="9360" w:type="dxa"/>
        <w:jc w:val="left"/>
        <w:tblInd w:w="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6"/>
                <w:szCs w:val="26"/>
              </w:rPr>
              <w:t>Layer 0: D-REC (Base Certificate)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/>
              <w:t>I-REC Standard, kWh-denominated, GCC-issued</w:t>
            </w:r>
          </w:p>
          <w:p>
            <w:pPr>
              <w:pStyle w:val="Normal"/>
              <w:spacing w:before="240" w:after="0"/>
              <w:jc w:val="center"/>
              <w:rPr/>
            </w:pPr>
            <w:r>
              <w:rPr>
                <w:color w:val="2E75B6"/>
                <w:sz w:val="32"/>
                <w:szCs w:val="32"/>
              </w:rPr>
              <w:t>↓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2E75B6"/>
                <w:sz w:val="26"/>
                <w:szCs w:val="26"/>
              </w:rPr>
              <w:t>Layer 1: mJ Token (Energy Attestation)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/>
              <w:t>ERC-721 NFT, 1 mJ = 1 Wh measured, metadata: device_id, timestamp, oracle_sig</w:t>
            </w:r>
          </w:p>
          <w:p>
            <w:pPr>
              <w:pStyle w:val="Normal"/>
              <w:spacing w:before="240" w:after="0"/>
              <w:jc w:val="center"/>
              <w:rPr/>
            </w:pPr>
            <w:r>
              <w:rPr>
                <w:color w:val="70AD47"/>
                <w:sz w:val="32"/>
                <w:szCs w:val="32"/>
              </w:rPr>
              <w:t>↓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70AD47"/>
                <w:sz w:val="26"/>
                <w:szCs w:val="26"/>
              </w:rPr>
              <w:t>Layer 2: aC Token (Carbon Credit)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/>
              <w:t>ERC-20 fungible, minted by burning mJ via emission factor (1000 mJ → ~0.00095 aC)</w:t>
            </w:r>
          </w:p>
          <w:p>
            <w:pPr>
              <w:pStyle w:val="Normal"/>
              <w:spacing w:before="240" w:after="0"/>
              <w:jc w:val="center"/>
              <w:rPr/>
            </w:pPr>
            <w:r>
              <w:rPr>
                <w:color w:val="C00000"/>
                <w:sz w:val="20"/>
                <w:szCs w:val="20"/>
              </w:rPr>
              <w:t xml:space="preserve">↑ </w:t>
            </w:r>
            <w:r>
              <w:rPr>
                <w:color w:val="C00000"/>
                <w:sz w:val="20"/>
                <w:szCs w:val="20"/>
              </w:rPr>
              <w:t>governed by ↑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C00000"/>
                <w:sz w:val="26"/>
                <w:szCs w:val="26"/>
              </w:rPr>
              <w:t>Layer 3: UMB Token (Governance)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/>
              <w:t>ERC-20 governance, controls emission factors, fee structure, DAO treasury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Heading3"/>
        <w:rPr/>
      </w:pPr>
      <w:r>
        <w:rPr/>
        <w:t>Token Details</w:t>
      </w:r>
    </w:p>
    <w:p>
      <w:pPr>
        <w:pStyle w:val="Normal"/>
        <w:spacing w:before="240" w:after="0"/>
        <w:rPr/>
      </w:pPr>
      <w:r>
        <w:rPr>
          <w:b/>
          <w:bCs/>
          <w:color w:val="2E75B6"/>
          <w:sz w:val="24"/>
          <w:szCs w:val="24"/>
        </w:rPr>
        <w:t>mJ Token (Energy Production NFT)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Standard</w:t>
      </w:r>
      <w:r>
        <w:rPr/>
        <w:t>: ERC-721 (non-fungible)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Unit</w:t>
      </w:r>
      <w:r>
        <w:rPr/>
        <w:t>: 1 mJ = 1 Wh of solar energy produced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Metadata</w:t>
      </w:r>
      <w:r>
        <w:rPr/>
        <w:t>: {device_id, timestamp, watt_hours, grid_emission_factor, oracle_signature, d_rec_id}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Minting</w:t>
      </w:r>
      <w:r>
        <w:rPr/>
        <w:t>: Oracle submits batched production data from IoT devices, contract mints 1 NFT per Wh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Burning</w:t>
      </w:r>
      <w:r>
        <w:rPr/>
        <w:t>: User burns mJ NFTs to mint aC tokens (emission factor conversion)</w:t>
      </w:r>
    </w:p>
    <w:p>
      <w:pPr>
        <w:pStyle w:val="Normal"/>
        <w:rPr/>
      </w:pPr>
      <w:r>
        <w:rPr>
          <w:b/>
          <w:bCs/>
          <w:color w:val="70AD47"/>
          <w:sz w:val="24"/>
          <w:szCs w:val="24"/>
        </w:rPr>
        <w:t>aC Token (Carbon Offset Credit)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Standard</w:t>
      </w:r>
      <w:r>
        <w:rPr/>
        <w:t>: ERC-20 (fungible)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Unit</w:t>
      </w:r>
      <w:r>
        <w:rPr/>
        <w:t>: 1 aC = 1 kg CO2 avoided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Minting</w:t>
      </w:r>
      <w:r>
        <w:rPr/>
        <w:t>: User burns mJ NFTs → contract calculates aC = (Wh × emission_factor) / 1000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Emission Factor (Eskom 2026)</w:t>
      </w:r>
      <w:r>
        <w:rPr/>
        <w:t>: ~0.95 kg CO2/kWh → 1000 Wh → 0.95 kg CO2 → 0.95 aC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Burning</w:t>
      </w:r>
      <w:r>
        <w:rPr/>
        <w:t>: Retirement function burns aC permanently, logs to blockchain for ESG reporting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Trading</w:t>
      </w:r>
      <w:r>
        <w:rPr/>
        <w:t>: Liquid on Uniswap/Polygon (aC/USDC pool)</w:t>
      </w:r>
    </w:p>
    <w:p>
      <w:pPr>
        <w:pStyle w:val="Normal"/>
        <w:rPr/>
      </w:pPr>
      <w:r>
        <w:rPr>
          <w:b/>
          <w:bCs/>
          <w:color w:val="C00000"/>
          <w:sz w:val="24"/>
          <w:szCs w:val="24"/>
        </w:rPr>
        <w:t>UMB Token (Governance + Utility)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Standard</w:t>
      </w:r>
      <w:r>
        <w:rPr/>
        <w:t>: ERC-20 (fungible)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Supply</w:t>
      </w:r>
      <w:r>
        <w:rPr/>
        <w:t>: 100M fixed (no inflation)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Governance</w:t>
      </w:r>
      <w:r>
        <w:rPr/>
        <w:t>: Vote on emission factor updates, fee changes, D-REC integration terms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Staking</w:t>
      </w:r>
      <w:r>
        <w:rPr/>
        <w:t>: Stake UMB → earn share of platform fees (USDC)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Liquidity Mining</w:t>
      </w:r>
      <w:r>
        <w:rPr/>
        <w:t>: Provide aC/USDC liquidity → earn UMB rewards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Amoy Deployment</w:t>
      </w:r>
      <w:r>
        <w:rPr/>
        <w:t>: Current testnet contract is UMB governance prototype, mainnet launch TBD</w:t>
      </w:r>
    </w:p>
    <w:p>
      <w:pPr>
        <w:pStyle w:val="Heading2"/>
        <w:rPr/>
      </w:pPr>
      <w:r>
        <w:rPr/>
        <w:t>2.3 Naming Clarification</w:t>
      </w:r>
    </w:p>
    <w:p>
      <w:pPr>
        <w:pStyle w:val="Normal"/>
        <w:spacing w:before="0" w:after="240"/>
        <w:rPr/>
      </w:pPr>
      <w:r>
        <w:rPr>
          <w:b/>
          <w:bCs/>
        </w:rPr>
        <w:t>Going forward: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UMB</w:t>
      </w:r>
      <w:r>
        <w:rPr/>
        <w:t xml:space="preserve"> is the canonical token symbol (consistent across docs, contracts, DEX listings)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UMBANE</w:t>
      </w:r>
      <w:r>
        <w:rPr/>
        <w:t xml:space="preserve"> is the project/protocol name, not a separate token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All references to 'UMBANE token'</w:t>
      </w:r>
      <w:r>
        <w:rPr/>
        <w:t xml:space="preserve"> should be updated to 'UMB token'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3. D-REC ↔ mJ/aC Integration Architecture</w:t>
      </w:r>
    </w:p>
    <w:p>
      <w:pPr>
        <w:pStyle w:val="Heading2"/>
        <w:rPr/>
      </w:pPr>
      <w:r>
        <w:rPr/>
        <w:t>3.1 Two-Layer Model</w:t>
      </w:r>
    </w:p>
    <w:p>
      <w:pPr>
        <w:pStyle w:val="Normal"/>
        <w:spacing w:before="0" w:after="240"/>
        <w:rPr/>
      </w:pPr>
      <w:r>
        <w:rPr/>
        <w:t>Umbane operates a dual-layer certification system: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Layer 1 (TradFi)</w:t>
      </w:r>
      <w:r>
        <w:rPr/>
        <w:t>: D-REC certificates issued by GCC, recorded in Evident registry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Layer 2 (DeFi)</w:t>
      </w:r>
      <w:r>
        <w:rPr/>
        <w:t>: mJ/aC tokens on Polygon, backed 1:1 by D-REC kWh</w:t>
      </w:r>
    </w:p>
    <w:p>
      <w:pPr>
        <w:pStyle w:val="Heading3"/>
        <w:rPr/>
      </w:pPr>
      <w:r>
        <w:rPr/>
        <w:t>Data Flow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IoT Measurement</w:t>
      </w:r>
      <w:r>
        <w:rPr/>
        <w:t xml:space="preserve"> — ESP32 + CT clamp measures household solar production, signs data, transmits via LoRaWAN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Backend Aggregation</w:t>
      </w:r>
      <w:r>
        <w:rPr/>
        <w:t xml:space="preserve"> — Umbane backend aggregates data from all devices, validates signatures, batches by month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D-REC Submission</w:t>
      </w:r>
      <w:r>
        <w:rPr/>
        <w:t xml:space="preserve"> — Umbane submits aggregated kWh production to GCC via Evident API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D-REC Issuance</w:t>
      </w:r>
      <w:r>
        <w:rPr/>
        <w:t xml:space="preserve"> — GCC verifies data (oracle attestation + audit trail), issues D-RECs to Umbane account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mJ Minting</w:t>
      </w:r>
      <w:r>
        <w:rPr/>
        <w:t xml:space="preserve"> — Oracle submits D-REC issuance proof to Polygon contract, mints mJ NFTs (1 per Wh)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mJ → aC Conversion</w:t>
      </w:r>
      <w:r>
        <w:rPr/>
        <w:t xml:space="preserve"> — User burns mJ NFTs, contract mints aC tokens based on emission factor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>Trading/Retirement</w:t>
      </w:r>
      <w:r>
        <w:rPr/>
        <w:t xml:space="preserve"> — User trades aC on Uniswap or retires for carbon offsetting</w:t>
      </w:r>
    </w:p>
    <w:p>
      <w:pPr>
        <w:pStyle w:val="Heading2"/>
        <w:rPr/>
      </w:pPr>
      <w:r>
        <w:rPr/>
        <w:t>3.2 Smart Contract Architecture</w:t>
      </w:r>
    </w:p>
    <w:p>
      <w:pPr>
        <w:pStyle w:val="Heading3"/>
        <w:rPr/>
      </w:pPr>
      <w:r>
        <w:rPr/>
        <w:t>Contract 1: UmbaneEnergyNFT (mJ)</w:t>
      </w:r>
    </w:p>
    <w:p>
      <w:pPr>
        <w:pStyle w:val="Normal"/>
        <w:spacing w:before="0" w:after="240"/>
        <w:rPr/>
      </w:pPr>
      <w:r>
        <w:rPr>
          <w:i/>
          <w:iCs/>
        </w:rPr>
        <w:t>Solidity pseudocode:</w:t>
      </w:r>
    </w:p>
    <w:tbl>
      <w:tblPr>
        <w:tblW w:w="9360" w:type="dxa"/>
        <w:jc w:val="left"/>
        <w:tblInd w:w="0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contract UmbaneEnergyNFT is ERC721 {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struct Metadata {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bytes32 deviceId;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uint256 timestamp;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uint256 wattHours; // 1 for each NFT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uint256 gridEmissionFactor; // kg CO2/kWh * 1e6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bytes32 drecId; // D-REC certificate 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function mint(address to, Metadata memory meta, bytes sig)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onlyOracle {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// Verify oracle signature, mint NFT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Heading3"/>
        <w:rPr/>
      </w:pPr>
      <w:r>
        <w:rPr/>
        <w:t>Contract 2: UmbaneCarbonToken (aC)</w:t>
      </w:r>
    </w:p>
    <w:p>
      <w:pPr>
        <w:pStyle w:val="Normal"/>
        <w:spacing w:before="0" w:after="240"/>
        <w:rPr/>
      </w:pPr>
      <w:r>
        <w:rPr>
          <w:i/>
          <w:iCs/>
        </w:rPr>
        <w:t>Solidity pseudocode:</w:t>
      </w:r>
    </w:p>
    <w:tbl>
      <w:tblPr>
        <w:tblW w:w="9360" w:type="dxa"/>
        <w:jc w:val="left"/>
        <w:tblInd w:w="0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contract UmbaneCarbonToken is ERC20 {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UmbaneEnergyNFT public energyNFT;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function mintFromEnergy(uint256[] memory nftIds) public {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uint256 totalCarbon = 0;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for (uint i = 0; i &lt; nftIds.length; i++) {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Metadata memory meta = energyNFT.metadata(nftIds[i]);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energyNFT.burn(nftIds[i]); // Burn mJ NFT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// Calculate aC: (Wh * emissionFactor) / 1000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totalCarbon += (meta.wattHours * meta.gridEmissionFactor) / 1e9;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_mint(msg.sender, totalCarbon); // Mint aC tokens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function retire(uint256 amount, string memory reason) public {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_burn(msg.sender, amount);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emit Retirement(msg.sender, amount, reason);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4. Revised Implementation Roadmap</w:t>
      </w:r>
    </w:p>
    <w:p>
      <w:pPr>
        <w:pStyle w:val="Heading2"/>
        <w:rPr/>
      </w:pPr>
      <w:r>
        <w:rPr/>
        <w:t>Phase 1: D-REC Validation (Months 1-2)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Contact GCC</w:t>
      </w:r>
      <w:r>
        <w:rPr/>
        <w:t xml:space="preserve"> — Confirm D-REC availability for South Africa, obtain fee schedule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Legal Review</w:t>
      </w:r>
      <w:r>
        <w:rPr/>
        <w:t xml:space="preserve"> — Commission opinion on D-REC → token bridge regulatory treatment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Update Documentation</w:t>
      </w:r>
      <w:r>
        <w:rPr/>
        <w:t xml:space="preserve"> — Replace I-REC references with D-REC pathway in strategic docs</w:t>
      </w:r>
    </w:p>
    <w:p>
      <w:pPr>
        <w:pStyle w:val="Heading2"/>
        <w:rPr/>
      </w:pPr>
      <w:r>
        <w:rPr/>
        <w:t>Phase 2: Smart Contract Development (Months 2-4)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UmbaneEnergyNFT (mJ)</w:t>
      </w:r>
      <w:r>
        <w:rPr/>
        <w:t xml:space="preserve"> — Deploy on Polygon Mumbai testnet, test oracle minting flow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UmbaneCarbonToken (aC)</w:t>
      </w:r>
      <w:r>
        <w:rPr/>
        <w:t xml:space="preserve"> — Deploy on Mumbai, test mJ → aC conversion with emission factors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UMB Governance</w:t>
      </w:r>
      <w:r>
        <w:rPr/>
        <w:t xml:space="preserve"> — Migrate from Amoy to Mumbai, integrate with mJ/aC contracts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Security Audit</w:t>
      </w:r>
      <w:r>
        <w:rPr/>
        <w:t xml:space="preserve"> — OpenZeppelin Defender audit before mainnet</w:t>
      </w:r>
    </w:p>
    <w:p>
      <w:pPr>
        <w:pStyle w:val="Heading2"/>
        <w:rPr/>
      </w:pPr>
      <w:r>
        <w:rPr/>
        <w:t>Phase 3: D-REC Aggregator Registration (Months 3-5)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NPC Registration</w:t>
      </w:r>
      <w:r>
        <w:rPr/>
        <w:t xml:space="preserve"> — Register Umbane as Non-Profit Company in South Africa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D-REC Aggregator Application</w:t>
      </w:r>
      <w:r>
        <w:rPr/>
        <w:t xml:space="preserve"> — Submit to GCC with IoT monitoring documentation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Evident Integration</w:t>
      </w:r>
      <w:r>
        <w:rPr/>
        <w:t xml:space="preserve"> — Set up API access, test device registration CSV upload</w:t>
      </w:r>
    </w:p>
    <w:p>
      <w:pPr>
        <w:pStyle w:val="Heading2"/>
        <w:rPr/>
      </w:pPr>
      <w:r>
        <w:rPr/>
        <w:t>Phase 4: Pilot Launch (Months 5-8)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Device Deployment</w:t>
      </w:r>
      <w:r>
        <w:rPr/>
        <w:t xml:space="preserve"> — 100 ESP32 + CT clamp units in Muizenberg/Observatory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D-REC Registration</w:t>
      </w:r>
      <w:r>
        <w:rPr/>
        <w:t xml:space="preserve"> — Register 100 household devices with GCC via CSV batch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First Issuance</w:t>
      </w:r>
      <w:r>
        <w:rPr/>
        <w:t xml:space="preserve"> — Submit Month 1 production data, receive D-RECs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mJ/aC Minting</w:t>
      </w:r>
      <w:r>
        <w:rPr/>
        <w:t xml:space="preserve"> — Oracle triggers Polygon mint based on D-REC proof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Liquidity Pool</w:t>
      </w:r>
      <w:r>
        <w:rPr/>
        <w:t xml:space="preserve"> — Seed aC/USDC pool on Uniswap with R500k capital</w:t>
      </w:r>
    </w:p>
    <w:p>
      <w:pPr>
        <w:pStyle w:val="Heading2"/>
        <w:rPr/>
      </w:pPr>
      <w:r>
        <w:rPr/>
        <w:t>Phase 5: Mainnet + Scale (Months 8-12)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Mainnet Deploy</w:t>
      </w:r>
      <w:r>
        <w:rPr/>
        <w:t xml:space="preserve"> — All contracts to Polygon mainnet post-audit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Scale to 1,000 devices</w:t>
      </w:r>
      <w:r>
        <w:rPr/>
        <w:t xml:space="preserve"> — Expand across Cape Town metro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JSE Engagement</w:t>
      </w:r>
      <w:r>
        <w:rPr/>
        <w:t xml:space="preserve"> — Present hybrid model to Chris Sturgess, explore aC listing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UMB Token Sale</w:t>
      </w:r>
      <w:r>
        <w:rPr/>
        <w:t xml:space="preserve"> — Launch public sale (R10M target)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5. Critical Open Questions</w:t>
      </w:r>
    </w:p>
    <w:p>
      <w:pPr>
        <w:pStyle w:val="Heading2"/>
        <w:rPr/>
      </w:pPr>
      <w:r>
        <w:rPr/>
        <w:t>5.1 D-REC Availability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Question</w:t>
      </w:r>
      <w:r>
        <w:rPr/>
        <w:t>: Is D-REC currently available for issuance in South Africa via GCC?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Status</w:t>
      </w:r>
      <w:r>
        <w:rPr/>
        <w:t>: Unknown — requires direct inquiry to GCC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Mitigation</w:t>
      </w:r>
      <w:r>
        <w:rPr/>
        <w:t>: If D-REC not available, fall back to standard I-REC aggregation (less ideal but viable)</w:t>
      </w:r>
    </w:p>
    <w:p>
      <w:pPr>
        <w:pStyle w:val="Heading2"/>
        <w:rPr/>
      </w:pPr>
      <w:r>
        <w:rPr/>
        <w:t>5.2 D-REC Fee Structure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Question</w:t>
      </w:r>
      <w:r>
        <w:rPr/>
        <w:t>: Does D-REC qualify for free registration under GCC's &lt;250kW digital metering rule?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Impact</w:t>
      </w:r>
      <w:r>
        <w:rPr/>
        <w:t>: Free = project viable at scale; R5-10k/device = requires significant upfront capital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Mitigation</w:t>
      </w:r>
      <w:r>
        <w:rPr/>
        <w:t>: If fees apply, phase registration (100 → 500 → 1000 devices) and subsidize via token sale</w:t>
      </w:r>
    </w:p>
    <w:p>
      <w:pPr>
        <w:pStyle w:val="Heading2"/>
        <w:rPr/>
      </w:pPr>
      <w:r>
        <w:rPr/>
        <w:t>5.3 FSCA Classification of aC Tokens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Question</w:t>
      </w:r>
      <w:r>
        <w:rPr/>
        <w:t>: Does FSCA classify aC tokens as securities requiring prospectus/registration?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Risk</w:t>
      </w:r>
      <w:r>
        <w:rPr/>
        <w:t>: If classified as security, compliance costs could be prohibitive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Action</w:t>
      </w:r>
      <w:r>
        <w:rPr/>
        <w:t>: Commission legal opinion from ENS Africa or similar (est. R150-300k)</w:t>
      </w:r>
    </w:p>
    <w:p>
      <w:pPr>
        <w:pStyle w:val="Heading2"/>
        <w:rPr/>
      </w:pPr>
      <w:r>
        <w:rPr/>
        <w:t>5.4 Carbon Tax Eligibility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Question</w:t>
      </w:r>
      <w:r>
        <w:rPr/>
        <w:t>: Will National Treasury recognize aC tokens (backed by D-REC) for Carbon Tax Act offset compliance?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Impact</w:t>
      </w:r>
      <w:r>
        <w:rPr/>
        <w:t>: If yes, aC value aligns with carbon tax rate (R190-236/ton); if no, limited to voluntary market (R120-180/ton)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>Strategy</w:t>
      </w:r>
      <w:r>
        <w:rPr/>
        <w:t>: Design aC with COAS compatibility in mind (audit trail, retirement tracking), engage Treasury early</w:t>
      </w:r>
    </w:p>
    <w:p>
      <w:pPr>
        <w:pStyle w:val="Heading1"/>
        <w:rPr/>
      </w:pPr>
      <w:r>
        <w:rPr/>
        <w:t>6. Conclusion and Next Steps</w:t>
      </w:r>
    </w:p>
    <w:p>
      <w:pPr>
        <w:pStyle w:val="Heading2"/>
        <w:rPr/>
      </w:pPr>
      <w:r>
        <w:rPr/>
        <w:t>Summary of Changes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D-REC Elevation</w:t>
      </w:r>
      <w:r>
        <w:rPr/>
        <w:t xml:space="preserve"> — D-REC is now the primary certification pathway (not just precedent)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Token Clarification</w:t>
      </w:r>
      <w:r>
        <w:rPr/>
        <w:t xml:space="preserve"> — mJ (ERC-721 energy NFT) → aC (ERC-20 carbon credit) → UMB (ERC-20 governance)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>Architecture Consolidation</w:t>
      </w:r>
      <w:r>
        <w:rPr/>
        <w:t xml:space="preserve"> — Clear data flow from IoT → D-REC → mJ → aC with governance via UMB</w:t>
      </w:r>
    </w:p>
    <w:p>
      <w:pPr>
        <w:pStyle w:val="Heading2"/>
        <w:rPr/>
      </w:pPr>
      <w:r>
        <w:rPr/>
        <w:t>Immediate Actions (This Week)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Email GCC</w:t>
      </w:r>
      <w:r>
        <w:rPr/>
        <w:t xml:space="preserve"> — issuer@greencertificate.com with D-REC inquiry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Update GitHub README</w:t>
      </w:r>
      <w:r>
        <w:rPr/>
        <w:t xml:space="preserve"> — Reflect D-REC pathway and mJ/aC/UMB token hierarchy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Legal Engagement</w:t>
      </w:r>
      <w:r>
        <w:rPr/>
        <w:t xml:space="preserve"> — Request quote for FSCA opinion on aC token classification</w:t>
      </w:r>
    </w:p>
    <w:p>
      <w:pPr>
        <w:pStyle w:val="ListParagraph"/>
        <w:numPr>
          <w:ilvl w:val="0"/>
          <w:numId w:val="2"/>
        </w:numPr>
        <w:spacing w:before="0" w:after="480"/>
        <w:rPr/>
      </w:pPr>
      <w:r>
        <w:rPr>
          <w:b/>
          <w:bCs/>
        </w:rPr>
        <w:t>Revise Strategic Pathway Doc</w:t>
      </w:r>
      <w:r>
        <w:rPr/>
        <w:t xml:space="preserve"> — Add 'Section 2.5: D-REC Pathway Analysis' between current sections 2 and 3</w:t>
      </w:r>
    </w:p>
    <w:p>
      <w:pPr>
        <w:pStyle w:val="Normal"/>
        <w:pBdr>
          <w:top w:val="single" w:sz="6" w:space="1" w:color="2E75B6"/>
        </w:pBdr>
        <w:spacing w:before="480" w:after="240"/>
        <w:rPr/>
      </w:pPr>
      <w:r>
        <w:rPr/>
      </w:r>
    </w:p>
    <w:p>
      <w:pPr>
        <w:pStyle w:val="Normal"/>
        <w:jc w:val="center"/>
        <w:rPr/>
      </w:pPr>
      <w:r>
        <w:rPr>
          <w:color w:val="666666"/>
          <w:sz w:val="20"/>
          <w:szCs w:val="20"/>
        </w:rPr>
        <w:t>Document Version: 1.0</w:t>
      </w:r>
    </w:p>
    <w:p>
      <w:pPr>
        <w:pStyle w:val="Normal"/>
        <w:jc w:val="center"/>
        <w:rPr/>
      </w:pPr>
      <w:r>
        <w:rPr>
          <w:color w:val="666666"/>
          <w:sz w:val="20"/>
          <w:szCs w:val="20"/>
        </w:rPr>
        <w:t>Date: March 23, 2026</w:t>
      </w:r>
    </w:p>
    <w:p>
      <w:pPr>
        <w:pStyle w:val="Normal"/>
        <w:spacing w:before="0" w:after="120"/>
        <w:jc w:val="center"/>
        <w:rPr/>
      </w:pPr>
      <w:r>
        <w:rPr>
          <w:color w:val="666666"/>
          <w:sz w:val="20"/>
          <w:szCs w:val="20"/>
        </w:rPr>
        <w:t>Prepared for: Umbane Project Team</w:t>
      </w:r>
    </w:p>
    <w:p>
      <w:pPr>
        <w:pStyle w:val="Normal"/>
        <w:jc w:val="center"/>
        <w:rPr/>
      </w:pPr>
      <w:r>
        <w:rPr>
          <w:i/>
          <w:iCs/>
          <w:color w:val="999999"/>
          <w:sz w:val="20"/>
          <w:szCs w:val="20"/>
        </w:rPr>
        <w:t>Next Review: Post-GCC Response (Month 2)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40"/>
      <w:outlineLvl w:val="0"/>
    </w:pPr>
    <w:rPr>
      <w:rFonts w:ascii="Arial" w:hAnsi="Arial" w:eastAsia="Arial" w:cs="Arial"/>
      <w:b/>
      <w:bCs/>
      <w:color w:val="1F4788"/>
      <w:sz w:val="32"/>
      <w:szCs w:val="32"/>
    </w:rPr>
  </w:style>
  <w:style w:type="paragraph" w:styleId="Heading2">
    <w:name w:val="Heading 2"/>
    <w:basedOn w:val="Heading"/>
    <w:qFormat/>
    <w:pPr>
      <w:spacing w:before="30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5B9BD5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11</Pages>
  <Words>1915</Words>
  <Characters>11330</Characters>
  <CharactersWithSpaces>13092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2026-03-23T12:09:28Z</dcterms:created>
  <dc:creator>Un-named</dc:creator>
  <dc:description/>
  <dc:language>en-US</dc:language>
  <cp:lastModifiedBy>Un-named</cp:lastModifiedBy>
  <dcterms:modified xsi:type="dcterms:W3CDTF">2026-03-23T12:09:28Z</dcterms:modified>
  <cp:revision>1</cp:revision>
  <dc:subject/>
  <dc:title/>
</cp:coreProperties>
</file>