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DATATRUST SOLUTIONS — AGGIORNAMENTO COMPLIANCE Q2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Periodo: aprile - giugno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Responsabile: Chief Compliance Officer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NUOVI REQUISITI NORMATIVI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Recepimento della Direttiva NIS2 (Network and Information Security) in Italia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 D.Lgs. del 3 aprile 2025. DataTrust rientra tra i soggetti "importanti"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obbligati a notificare incidenti significativi entro 24 ore all'ACN.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Nuove disposizioni Banca d'Italia su outsourcing ICT per operatori finanziari: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obbligo di contratti standardizzati con i fornitori cloud entro settembre 2025.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CERTIFICAZIONI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Certificazione ISO 27001 sede Milano: RINNOVATA in data 18 giugno 2025.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Nessuna non conformità rilevata durante l'audit.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Avviata procedura per ottenimento certificazione ISO 42001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(AI Management System), prevista entro Q1 2026.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ANOMALIE RILEVATE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Indagine accessi non autorizzati Q1 chiusa: origine identificata in credenziali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compromesse di un ex collaboratore. Nessuna estrazione di dati confermata.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Garante Privacy notificato e archiviazione pratica approvata.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 nuove anomalie nel trimestre.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AZIONI CORRETTIVE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Implementato sistema di autenticazione a due fattori (2FA) per tutti i sistemi.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Aggiornato registro dei fornitori critici in conformità con linee guida EBA.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Completata formazione AML per il 100% del personale entro il 30 aprile.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