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DATATRUST SOLUTIONS — AGGIORNAMENTO COMPLIANCE Q3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Periodo: luglio - settembre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Responsabile: Chief Compliance Officer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NUOVI REQUISITI NORMATIVI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Pubblicazione delle Regulatory Technical Standards (RTS) di DORA da parte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di EBA, EIOPA ed ESMA in luglio 2025. DataTrust avvia gap analysis interna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per verificare la conformità dei propri sistemi entro gennaio 2026.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Aggiornamento GDPR: nuove linee guida EDPB sull'uso di LLM e AI generativa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nel trattamento di dati personali. Obbligo di Data Protection Impact Assessment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(DPIA) per tutti i sistemi AI che trattano dati di clienti.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CERTIFICAZIONI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SOC 2 Type II: audit completato in agosto 2025, certificazione CONFERMATA.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Nessuna eccezione rilevata nei controlli di sicurezza e disponibilità.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ISO 42001: procedura in corso, primo audit interno completato a settembre.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Identificate 4 aree di miglioramento nella governance dei sistemi AI.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ANOMALIE RILEVATE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 violazione policy: un dipendente ha condiviso un documento confidenziale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via canale non autorizzato. Richiamo scritto emesso, nessun dato cliente coinvolto.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Rilevato ritardo nell'aggiornamento dei contratti cloud secondo le nuove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disposizioni Banca d'Italia: 3 contratti su 7 da aggiornare entro settembre.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AZIONI CORRETTIVE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Avviata DPIA per il sistema di analisi documentale LLM.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Ingaggiata società esterna per supporto alla conformità DORA.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Contratti cloud: completato aggiornamento di 2 su 3, ultimo previsto entro ottobre.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