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DATATRUST SOLUTIONS — AGGIORNAMENTO COMPLIANCE Q1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Periodo: gennaio - marzo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Responsabile: Chief Compliance Officer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NUOVI REQUISITI NORMATIVI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Entrata in vigore del Regolamento DORA (Digital Operational Resilience Act)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dal 17 gennaio 2025. Tutti i fornitori di servizi finanziari devono adottare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misure di resilienza operativa digitale entro 12 mesi.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Aggiornamento linee guida EBA (European Banking Authority) sulla gestione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del rischio di terze parti: obbligo di mappatura completa dei fornitori critici.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CERTIFICAZIONI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Certificazione ISO 27001 sede Roma: CONFERMATA fino a febbraio 2026.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Certificazione ISO 27001 sede Milano: IN SCADENZA il 28 febbraio 2025.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Avviata procedura di rinnovo, completamento previsto entro giugno 2025.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ANOMALIE RILEVATE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- 3 accessi non autorizzati a documenti riservati (in corso di indagine interna).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- 1 mancata segnalazione di conflitto di interesse: sanzione amministrativa applicata.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- 35% del personale non ha completato la formazione AML obbligatoria entro scadenza.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AZIONI CORRETTIVE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Avviato audit interno sulla gestione degli accessi ai sistemi documentali.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Inviata comunicazione obbligatoria a tutto il personale per completamento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corso AML entro il 15 aprile 2025.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Budget straordinario di € 50.000 approvato per consulenza legale GDPR.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