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FINSECURE ANALYTICS - CLIENTE: MERIDIAN CAPITAL GROUP</w:t>
      </w:r>
    </w:p>
    <w:p>
      <w:pPr>
        <w:pStyle w:val="Heading1"/>
      </w:pPr>
      <w:r>
        <w:t>NOTA INTEGRATIVA E COMPLIANCE - ESERCIZIO 2025</w:t>
      </w:r>
    </w:p>
    <w:p>
      <w:r>
        <w:t>La presente nota integrativa accompagna il bilancio consolidato FY2025 di Meridian Capital Group e fornisce informazioni di dettaglio sui principali aggregati economico-patrimoniali e sullo stato di conformità normativa.</w:t>
      </w:r>
    </w:p>
    <w:p>
      <w:pPr>
        <w:pStyle w:val="Heading2"/>
      </w:pPr>
      <w:r>
        <w:t>1. RICONCILIAZIONE RISULTATI ECONOMICI</w:t>
      </w:r>
    </w:p>
    <w:p>
      <w:r>
        <w:t>L'utile netto consolidato dell'esercizio 2025 è pari a 1.68 M€, in crescita rispetto all'esercizio precedente (1.0 M€ nel 2024). Il risultato riflette il buon andamento dei ricavi operativi e l'efficace controllo dei costi di struttura.</w:t>
      </w:r>
    </w:p>
    <w:p>
      <w:r>
        <w:t>Dettaglio ricavi per trimestre (valori in M€):</w:t>
        <w:br/>
        <w:t xml:space="preserve">  Q1 2025: 12.4</w:t>
        <w:br/>
        <w:t xml:space="preserve">  Q2 2025: 13.1</w:t>
        <w:br/>
        <w:t xml:space="preserve">  Q3 2025: 12.8</w:t>
        <w:br/>
        <w:t xml:space="preserve">  Q4 2025: 13.7</w:t>
        <w:br/>
        <w:t xml:space="preserve">  Totale FY2025: 52.0</w:t>
      </w:r>
    </w:p>
    <w:p>
      <w:pPr>
        <w:pStyle w:val="Heading2"/>
      </w:pPr>
      <w:r>
        <w:t>2. STATO COMPLIANCE NORMATIVA</w:t>
      </w:r>
    </w:p>
    <w:p>
      <w:r>
        <w:t>La società risulta pienamente conforme alle normative applicabili, con l'eccezione di una non conformità IFRS 9 in corso di risoluzione. In particolare:</w:t>
      </w:r>
    </w:p>
    <w:p>
      <w:pPr>
        <w:pStyle w:val="ListBullet"/>
      </w:pPr>
      <w:r>
        <w:t>Basilea III: tutti i requisiti patrimoniali e di liquidità sono rispettati. LCR al 118%, NSFR al 108%.</w:t>
      </w:r>
    </w:p>
    <w:p>
      <w:pPr>
        <w:pStyle w:val="ListBullet"/>
      </w:pPr>
      <w:r>
        <w:t>IFRS 9: è stata rilevata una non conformità nella classificazione di un portafoglio di titoli strutturati (valore nominale 4.2 M€). Alcuni strumenti classificati in Stage 1 avrebbero dovuto essere riclassificati in Stage 2. Il problema è in fase di risoluzione con il revisore esterno.</w:t>
      </w:r>
    </w:p>
    <w:p>
      <w:pPr>
        <w:pStyle w:val="ListBullet"/>
      </w:pPr>
      <w:r>
        <w:t>Normativa AML: le procedure di KYC sono aggiornate e applicate su tutta la base clienti.</w:t>
      </w:r>
    </w:p>
    <w:p>
      <w:pPr>
        <w:pStyle w:val="ListBullet"/>
      </w:pPr>
      <w:r>
        <w:t>MiFID II: la documentazione di adeguatezza è completa per tutti i clienti retail e professionali.</w:t>
      </w:r>
    </w:p>
    <w:p>
      <w:pPr>
        <w:pStyle w:val="ListBullet"/>
      </w:pPr>
      <w:r>
        <w:t>GDPR: nessuna violazione di dati personali è stata registrata nel corso del 2025.</w:t>
      </w:r>
    </w:p>
    <w:p>
      <w:r>
        <w:t>Conclusione compliance: lo stato di conformità normativa è da considerarsi SOSTANZIALMENTE ADEGUATO, con l'eccezione della non conformità IFRS 9 già segnalata, la cui risoluzione è attesa entro il primo trimestre 2026.</w:t>
      </w:r>
    </w:p>
    <w:p>
      <w:pPr>
        <w:pStyle w:val="Heading2"/>
      </w:pPr>
      <w:r>
        <w:t>3. NPL RATIO E QUALITÀ DEL CREDITO</w:t>
      </w:r>
    </w:p>
    <w:p>
      <w:r>
        <w:t>Il NPL Ratio al 31/12/2025 è pari al 4.2%, in aumento rispetto al 3.1% del 2024 e oltre la soglia di attenzione interna fissata al 4.0%. La situazione è monitorata con attenzione dall'ufficio Risk Management, che ha avviato un piano di riduzione delle posizioni deteriorate per il 2026.</w:t>
      </w:r>
    </w:p>
    <w:p>
      <w:pPr>
        <w:pStyle w:val="Heading2"/>
      </w:pPr>
      <w:r>
        <w:t>4. EVENTI SUCCESSIVI ALLA CHIUSURA</w:t>
      </w:r>
    </w:p>
    <w:p>
      <w:r>
        <w:t>Non si segnalano eventi di rilievo successivi alla data di chiusura dell'esercizio (31 dicembre 2025) che possano influenzare significativamente la situazione patrimoniale, economica o finanziaria della società, oltre a quanto già descritto nella presente nota.</w:t>
      </w:r>
    </w:p>
    <w:p>
      <w:r>
        <w:br/>
        <w:t>Documento redatto dall'ufficio Amministrazione e Controllo - 22 gennaio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