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Policy e Linee Guida per la Gestione del Rischio di Mercato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4a556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rtl w:val="0"/>
              </w:rPr>
              <w:t xml:space="preserve">Organizzazione: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FinSecure Analytics S.p.A.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4a556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rtl w:val="0"/>
              </w:rPr>
              <w:t xml:space="preserve">Documento: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Linee Guida Interne e Framework Operativo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4a556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rtl w:val="0"/>
              </w:rPr>
              <w:t xml:space="preserve">Data di Rilascio: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Gennaio 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4a556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rtl w:val="0"/>
              </w:rPr>
              <w:t xml:space="preserve">Versione: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v2.4 (Aggiornamento Annuale)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4a556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a5568"/>
                <w:sz w:val="18"/>
                <w:szCs w:val="18"/>
                <w:rtl w:val="0"/>
              </w:rPr>
              <w:t xml:space="preserve">Stato: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Approvato dal Comitato Rischi e Controllo Asset-Liability Management (ALM)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/>
      </w:pPr>
      <w:r w:rsidDel="00000000" w:rsidR="00000000" w:rsidRPr="00000000">
        <w:rPr>
          <w:rtl w:val="0"/>
        </w:rPr>
        <w:t xml:space="preserve">1. Obiettivi e Ambito di Applicazione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/>
      </w:pPr>
      <w:r w:rsidDel="00000000" w:rsidR="00000000" w:rsidRPr="00000000">
        <w:rPr>
          <w:rtl w:val="0"/>
        </w:rPr>
        <w:t xml:space="preserve">Il presente documento definisce i principi fondamentali, le responsabilità organizzative e le metodologie di misurazione adottate da FinSecure Analytics per l'identificazione, la valutazione, il monitoraggio e la mitigazione del Rischio di Mercato. In conformità con gli standard di vigilanza prudenziale e i requisiti regolamentari vigenti a inizio 2024, la struttura del framework è finalizzata a preservare la stabilità patrimoniale dell'istituto e a garantire l'ottimizzazione del profilo di rischio-rendimento del portafoglio di proprietà.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jc w:val="both"/>
        <w:rPr/>
      </w:pPr>
      <w:r w:rsidDel="00000000" w:rsidR="00000000" w:rsidRPr="00000000">
        <w:rPr>
          <w:rtl w:val="0"/>
        </w:rPr>
        <w:t xml:space="preserve">Le disposizioni contenute nella presente policy si applicano a tutte le strutture organizzative, alle linee di business e alle controparti operanti per conto dell'azienda, con particolare riferimento alle attività afferenti alla Tesoreria e ai desk di negoziazione autorizzati sul mercato dei capitali tradizionale.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Gestione del Rischio di Tasso d'Interesse (Interest Rate Risk)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Il rischio di tasso d'interesse nel portafoglio bancario e di negoziazione rappresenta la variabilità potenziale del margine di interesse e del valore economico del capitale a causa di fluttuazioni sfavorevoli delle curve dei tassi di mercato. FinSecure Analytics adotta un approccio duale basato sulla stima degli impatti a breve e a lungo termine.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Metodologie di Valutazione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/>
      </w:pPr>
      <w:r w:rsidDel="00000000" w:rsidR="00000000" w:rsidRPr="00000000">
        <w:rPr>
          <w:rtl w:val="0"/>
        </w:rPr>
        <w:t xml:space="preserve">La misurazione del rischio viene eseguita con cadenza quotidiana e settimanale attraverso l'applicazione dei seguenti modelli quantitativi: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Value at Risk (VaR):</w:t>
      </w:r>
      <w:r w:rsidDel="00000000" w:rsidR="00000000" w:rsidRPr="00000000">
        <w:rPr>
          <w:sz w:val="20"/>
          <w:szCs w:val="20"/>
          <w:rtl w:val="0"/>
        </w:rPr>
        <w:t xml:space="preserve"> Calcolato su un orizzonte temporale di holding period a 10 giorni con un intervallo di confidenza del 99%, utilizzando simulazioni storiche basate sugli ultimi 250 giorni di mercato.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Sensitivity Analysis (Duration Gap):</w:t>
      </w:r>
      <w:r w:rsidDel="00000000" w:rsidR="00000000" w:rsidRPr="00000000">
        <w:rPr>
          <w:sz w:val="20"/>
          <w:szCs w:val="20"/>
          <w:rtl w:val="0"/>
        </w:rPr>
        <w:t xml:space="preserve"> Analisi della sensibilità del valore del portafoglio a shock paralleli e non paralleli della curva dei tassi (es. inclinazione, torsione) nell'ordine di +/- 200 punti base.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Repricing Gap Analysis:</w:t>
      </w:r>
      <w:r w:rsidDel="00000000" w:rsidR="00000000" w:rsidRPr="00000000">
        <w:rPr>
          <w:sz w:val="20"/>
          <w:szCs w:val="20"/>
          <w:rtl w:val="0"/>
        </w:rPr>
        <w:t xml:space="preserve"> Suddivisione delle attività e delle passività finanziarie in bande temporali distinte a seconda della prima data di ridefinizione del tasso, al fine di quantificare il disallineamento strutturale.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Limiti Operativi e Mitigazione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/>
      </w:pPr>
      <w:r w:rsidDel="00000000" w:rsidR="00000000" w:rsidRPr="00000000">
        <w:rPr>
          <w:rtl w:val="0"/>
        </w:rPr>
        <w:t xml:space="preserve">Al fine di mantenere l'esposizione entro i livelli di propensione al rischio (Risk Appetite Framework) stabiliti dal Consiglio di Amministrazione, sono definiti i seguenti tetti operativi per l'anno 2024: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Tipologia di Portafoglio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Indicatore di Rischio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Limite Massimo Consentito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Azione di Escalation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Trading Book (Titoli di Stato ed Obbligazioni)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 Storico (10d, 99%)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€ 2.500.000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Riduzione immediata delle posizioni aperte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Banking Book (Asset-Liability Management)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Sensibilità Valore Economico (ΔEVE)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del Capitale di Classe 1 (Tier 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Convocazione straordinaria del Comitato ALM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Portafoglio Derivati di Copertura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Sensibilità del Margine di Interesse (ΔNII)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€ 1.200.000 (orizzonte 12 mesi)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Ribilanciamento tramite contratti Swap (IRS)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jc w:val="both"/>
        <w:rPr/>
      </w:pPr>
      <w:r w:rsidDel="00000000" w:rsidR="00000000" w:rsidRPr="00000000">
        <w:rPr>
          <w:rtl w:val="0"/>
        </w:rPr>
        <w:t xml:space="preserve">Le strategie di mitigazione prevedono l'utilizzo sistematico di strumenti derivati standardizzati di tipo Plain Vanilla, quali Interest Rate Swap (IRS), Forward Rate Agreement (FRA) e opzioni su tassi (Cap/Floor), unicamente per finalità di copertura e previa verifica dell'efficacia contabile.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Gestione del Rischio di Liquidità (Liquidity Risk)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Il rischio di liquidità è definito come l'eventualità che FinSecure Analytics non sia in grado di far fronte ai propri impegni di pagamento tempestivamente e senza sostenere costi economici non sostenibili, a causa dell'impossibilità di smobilizzare attività finanziarie o di reperire fondi sul mercato.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Indicatori Regolamentari e Monitoraggio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/>
      </w:pPr>
      <w:r w:rsidDel="00000000" w:rsidR="00000000" w:rsidRPr="00000000">
        <w:rPr>
          <w:rtl w:val="0"/>
        </w:rPr>
        <w:t xml:space="preserve">Il presidio della liquidità si articola sulla gestione della liquidità operativa (breve termine) e della liquidità strutturale (medio-lungo termine), monitorata tramite gli indicatori standard di Basilea 3: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Liquidity Coverage Ratio (LCR):</w:t>
      </w:r>
      <w:r w:rsidDel="00000000" w:rsidR="00000000" w:rsidRPr="00000000">
        <w:rPr>
          <w:sz w:val="20"/>
          <w:szCs w:val="20"/>
          <w:rtl w:val="0"/>
        </w:rPr>
        <w:t xml:space="preserve"> Volto a garantire la disponibilità di un stock di attività liquide di elevata qualità (HQLA) sufficiente a superare uno scenario di stress acuto della durata di 30 giorni.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 Stable Funding Ratio (NSFR):</w:t>
      </w:r>
      <w:r w:rsidDel="00000000" w:rsidR="00000000" w:rsidRPr="00000000">
        <w:rPr>
          <w:sz w:val="20"/>
          <w:szCs w:val="20"/>
          <w:rtl w:val="0"/>
        </w:rPr>
        <w:t xml:space="preserve"> Volto ad assicurare che le attività a lungo termine siano finanziate con fonti di provvista stabili e durature, minimizzando il rischio di mismatching temporale oltre l'anno.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Matrice delle Soglie Interne di Allerta (Early Warning Signals)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/>
      </w:pPr>
      <w:r w:rsidDel="00000000" w:rsidR="00000000" w:rsidRPr="00000000">
        <w:rPr>
          <w:rtl w:val="0"/>
        </w:rPr>
        <w:t xml:space="preserve">La Tesoreria monitora quotidianamente i buffer di liquidità disponibili rispetto alle soglie di tolleranza interna, strutturate come segue per l'esercizio 2024: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Metrica di Rischio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Target Ottimale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Soglia di Attenzione (Yellow)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Soglia di Allarme (Red)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Liquidity Coverage Ratio (LCR)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 125%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110% - 115%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105%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 Stable Funding Ratio (NSFR)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 115%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105% - 108%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102%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Survival Period (Stress Scenario)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 45 Giorni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30 - 45 Giorni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30 Giorni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/>
      </w:pPr>
      <w:r w:rsidDel="00000000" w:rsidR="00000000" w:rsidRPr="00000000">
        <w:rPr>
          <w:rtl w:val="0"/>
        </w:rPr>
        <w:t xml:space="preserve">3.3 Piano di Emergenza (Contingency Funding Plan - CFP)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/>
      </w:pPr>
      <w:r w:rsidDel="00000000" w:rsidR="00000000" w:rsidRPr="00000000">
        <w:rPr>
          <w:rtl w:val="0"/>
        </w:rPr>
        <w:t xml:space="preserve">Nel caso in cui gli indicatori di mercato o i flussi di cassa interni evidenzino il superamento della soglia "Red", si attiva automaticamente il Contingency Funding Plan. Le procedure straordinarie di reperimento della liquidità includono: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Smobilizzo immediato del portafoglio di Titoli di Stato idonei presso le controparti centrali tramite operazioni di Pronti contro Termine (Repo).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Attivazione di linee di credito d'emergenza precedentemente contrattualizzate con istituti partner istituzionali.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Restrizione temporanea del budget allocato alle attività di trading proprietario a elevato assorbimento di cassa.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Struttura di Governance e Reporting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/>
      </w:pPr>
      <w:r w:rsidDel="00000000" w:rsidR="00000000" w:rsidRPr="00000000">
        <w:rPr>
          <w:rtl w:val="0"/>
        </w:rPr>
        <w:t xml:space="preserve">La responsabilità ultima della definizione delle strategie e delle politiche di gestione dei rischi di mercato ricade sul Consiglio di Amministrazione. La Funzione di Risk Management, gerarchicamente indipendente dalle unità operative, ha il compito di sviluppare i modelli di calcolo, verificare il rispetto dei limiti assegnati e redigere la reportistica direzionale.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jc w:val="both"/>
        <w:rPr/>
      </w:pPr>
      <w:r w:rsidDel="00000000" w:rsidR="00000000" w:rsidRPr="00000000">
        <w:rPr>
          <w:rtl w:val="0"/>
        </w:rPr>
        <w:t xml:space="preserve">Il flusso informativo prevede l'invio di un Report Giornaliero sul VaR e sulla Liquidità Operativa alla Tesoreria, e di un Informativa Trimestrale consolidata al Comitato Rischi per la valutazione della congruità del capitale interno rispetto ai rischi assunti.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Revisione e Manutenzione della Policy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/>
      </w:pPr>
      <w:r w:rsidDel="00000000" w:rsidR="00000000" w:rsidRPr="00000000">
        <w:rPr>
          <w:rtl w:val="0"/>
        </w:rPr>
        <w:t xml:space="preserve">La presente documentazione è soggetta a revisione ordinaria con cadenza annuale al fine di incorporare le evoluzioni nelle prassi di mercato e i mutamenti del quadro normativo. Eventuali modifiche straordinarie dovranno essere formalmente deliberate dal Comitato Rischi e ratificate dagli organi societari competenti.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45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75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Rule="auto"/>
    </w:pPr>
    <w:rPr>
      <w:b w:val="1"/>
      <w:bCs w:val="1"/>
      <w:i w:val="0"/>
      <w:iCs w:val="0"/>
      <w:color w:val="4a556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