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DF75" w14:textId="77777777" w:rsidR="009D24AC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aa06ighbfx19" w:colFirst="0" w:colLast="0"/>
      <w:bookmarkEnd w:id="0"/>
      <w:r>
        <w:rPr>
          <w:b/>
          <w:bCs/>
          <w:sz w:val="46"/>
          <w:szCs w:val="46"/>
        </w:rPr>
        <w:t>RELAZIONE FINANZIARIA ANNUALE: FY 2025</w:t>
      </w:r>
    </w:p>
    <w:p w14:paraId="6DE4723A" w14:textId="77777777" w:rsidR="009D24AC" w:rsidRDefault="00000000">
      <w:pPr>
        <w:spacing w:after="240"/>
      </w:pPr>
      <w:r>
        <w:rPr>
          <w:b/>
          <w:bCs/>
        </w:rPr>
        <w:t>Azienda:</w:t>
      </w:r>
      <w:r>
        <w:t xml:space="preserve"> FinSecure Analytics S.p.A.</w:t>
      </w:r>
    </w:p>
    <w:p w14:paraId="6FFF1C65" w14:textId="77777777" w:rsidR="009D24AC" w:rsidRDefault="00000000">
      <w:pPr>
        <w:spacing w:after="240"/>
      </w:pPr>
      <w:r>
        <w:rPr>
          <w:b/>
          <w:bCs/>
        </w:rPr>
        <w:t>Autore:</w:t>
      </w:r>
      <w:r>
        <w:t xml:space="preserve"> Ufficio del Chief Financial Officer</w:t>
      </w:r>
    </w:p>
    <w:p w14:paraId="28F13C50" w14:textId="77777777" w:rsidR="009D24AC" w:rsidRDefault="00000000">
      <w:pPr>
        <w:spacing w:after="240"/>
      </w:pPr>
      <w:r>
        <w:rPr>
          <w:b/>
          <w:bCs/>
        </w:rPr>
        <w:t>Data di rilascio:</w:t>
      </w:r>
      <w:r>
        <w:t xml:space="preserve"> 26 Maggio 2026</w:t>
      </w:r>
    </w:p>
    <w:p w14:paraId="49A39903" w14:textId="77777777" w:rsidR="009D24AC" w:rsidRDefault="00000000">
      <w:pPr>
        <w:spacing w:after="240"/>
      </w:pPr>
      <w:r>
        <w:rPr>
          <w:b/>
          <w:bCs/>
        </w:rPr>
        <w:t>Stato:</w:t>
      </w:r>
      <w:r>
        <w:t xml:space="preserve"> Approvato per revisione interna</w:t>
      </w:r>
    </w:p>
    <w:p w14:paraId="2431DAAA" w14:textId="77777777" w:rsidR="009D24AC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aypw4g3qngjb" w:colFirst="0" w:colLast="0"/>
      <w:bookmarkEnd w:id="1"/>
      <w:r>
        <w:rPr>
          <w:b/>
          <w:bCs/>
          <w:sz w:val="34"/>
          <w:szCs w:val="34"/>
        </w:rPr>
        <w:t>1. Introduzione del CFO</w:t>
      </w:r>
    </w:p>
    <w:p w14:paraId="279E65AE" w14:textId="77777777" w:rsidR="009D24AC" w:rsidRDefault="00000000">
      <w:pPr>
        <w:spacing w:after="240"/>
      </w:pPr>
      <w:r>
        <w:t>L'anno fiscale 2025 ha rappresentato un periodo di forte consolidamento strategico ed espansione delle quote di mercato per FinSecure Analytics. In un contesto macroeconomico caratterizzato da una persistente volatilità e dall'incremento dei costi operativi, l'azienda ha dimostrato una straordinaria resilienza finanziaria.</w:t>
      </w:r>
    </w:p>
    <w:p w14:paraId="6B9B8273" w14:textId="15FF9584" w:rsidR="00DC6BA9" w:rsidRDefault="00000000">
      <w:pPr>
        <w:spacing w:after="240"/>
      </w:pPr>
      <w:r>
        <w:t>Grazie agli investimenti mirati sulla nostra nuova suite di analisi predittiva basata su intelligenza artificial</w:t>
      </w:r>
      <w:r w:rsidR="00DC6BA9">
        <w:t>e,</w:t>
      </w:r>
      <w:r>
        <w:t xml:space="preserve"> al rafforzamento dei contratti di licenza ricorrenti (ARR), </w:t>
      </w:r>
      <w:r w:rsidR="00DC6BA9">
        <w:t xml:space="preserve">e all’eccellente </w:t>
      </w:r>
      <w:r w:rsidR="00DC6BA9" w:rsidRPr="00DC6BA9">
        <w:t>performance del nuovo desk di trading in Criptovalute e Asset Digitali avviato a marzo 2025</w:t>
      </w:r>
      <w:r w:rsidR="00DC6BA9">
        <w:t xml:space="preserve"> </w:t>
      </w:r>
      <w:r w:rsidR="00DC6BA9">
        <w:t xml:space="preserve">siamo riusciti a sovraperformare le </w:t>
      </w:r>
      <w:r w:rsidR="00DC6BA9">
        <w:rPr>
          <w:i/>
          <w:iCs/>
        </w:rPr>
        <w:t>guidance</w:t>
      </w:r>
      <w:r w:rsidR="00DC6BA9">
        <w:t xml:space="preserve"> iniziali, posizionando la società su una traiettoria di crescita sostenibile a lungo termine.</w:t>
      </w:r>
    </w:p>
    <w:p w14:paraId="22E83195" w14:textId="77777777" w:rsidR="009D24AC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1boeiqj7su9v" w:colFirst="0" w:colLast="0"/>
      <w:bookmarkEnd w:id="2"/>
      <w:r>
        <w:rPr>
          <w:b/>
          <w:bCs/>
          <w:sz w:val="34"/>
          <w:szCs w:val="34"/>
        </w:rPr>
        <w:t>2. Sintesi delle Performance Finanziarie</w:t>
      </w:r>
    </w:p>
    <w:p w14:paraId="40C2E936" w14:textId="77777777" w:rsidR="009D24AC" w:rsidRDefault="00000000">
      <w:pPr>
        <w:spacing w:after="240"/>
      </w:pPr>
      <w:r>
        <w:t>I principali indicatori di performance (KPI) evidenziano una gestione operativa solida e una rigorosa disciplina nell'allocazione del capitale:</w:t>
      </w:r>
    </w:p>
    <w:p w14:paraId="1079A36C" w14:textId="77777777" w:rsidR="009D24AC" w:rsidRDefault="00000000">
      <w:pPr>
        <w:numPr>
          <w:ilvl w:val="0"/>
          <w:numId w:val="2"/>
        </w:numPr>
      </w:pPr>
      <w:r>
        <w:rPr>
          <w:b/>
          <w:bCs/>
        </w:rPr>
        <w:t>Margine EBITDA:</w:t>
      </w:r>
      <w:r>
        <w:t xml:space="preserve"> Attestato al </w:t>
      </w:r>
      <w:r>
        <w:rPr>
          <w:b/>
          <w:bCs/>
        </w:rPr>
        <w:t>28,5%</w:t>
      </w:r>
      <w:r>
        <w:t>, in crescita di 150 punti base rispetto al FY 2024, trainato dall'efficientamento dei costi di hosting cloud.</w:t>
      </w:r>
    </w:p>
    <w:p w14:paraId="257F21CE" w14:textId="77777777" w:rsidR="009D24AC" w:rsidRDefault="00000000">
      <w:pPr>
        <w:numPr>
          <w:ilvl w:val="0"/>
          <w:numId w:val="2"/>
        </w:numPr>
      </w:pPr>
      <w:r>
        <w:rPr>
          <w:b/>
          <w:bCs/>
        </w:rPr>
        <w:t>Utile Netto:</w:t>
      </w:r>
      <w:r>
        <w:t xml:space="preserve"> Incrementato del </w:t>
      </w:r>
      <w:r>
        <w:rPr>
          <w:b/>
          <w:bCs/>
        </w:rPr>
        <w:t>12%</w:t>
      </w:r>
      <w:r>
        <w:t xml:space="preserve"> su base annua, beneficiando di alcune ottimizzazioni fiscali sulle attività di Ricerca e Sviluppo.</w:t>
      </w:r>
    </w:p>
    <w:p w14:paraId="19409ED3" w14:textId="77777777" w:rsidR="009D24A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Cash Conversion Rate:</w:t>
      </w:r>
      <w:r>
        <w:t xml:space="preserve"> Mantenuto a un ottimo </w:t>
      </w:r>
      <w:r>
        <w:rPr>
          <w:b/>
          <w:bCs/>
        </w:rPr>
        <w:t>82%</w:t>
      </w:r>
      <w:r>
        <w:t>, confermando l'efficacia delle nostre politiche di gestione del credito commerciale.</w:t>
      </w:r>
    </w:p>
    <w:p w14:paraId="5F19C6F6" w14:textId="77777777" w:rsidR="009D24AC" w:rsidRDefault="00000000">
      <w:pPr>
        <w:spacing w:after="240"/>
      </w:pPr>
      <w:r>
        <w:t>L'elemento trainante del FY 2025 è stato il progressivo incremento dei ricavi trimestrali, spinto principalmente dai rinnovi contrattuali storici concentrati nella seconda metà dell'anno.</w:t>
      </w:r>
    </w:p>
    <w:p w14:paraId="7AF2C20D" w14:textId="77777777" w:rsidR="009D24AC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28ok31dl7kss" w:colFirst="0" w:colLast="0"/>
      <w:bookmarkEnd w:id="3"/>
      <w:r>
        <w:rPr>
          <w:b/>
          <w:bCs/>
          <w:sz w:val="34"/>
          <w:szCs w:val="34"/>
        </w:rPr>
        <w:t>3. Ricavi per Trimestre (FY 2025)</w:t>
      </w:r>
    </w:p>
    <w:p w14:paraId="4E0B6222" w14:textId="77777777" w:rsidR="009D24AC" w:rsidRDefault="00000000">
      <w:pPr>
        <w:spacing w:after="240"/>
      </w:pPr>
      <w:r>
        <w:t>Di seguito viene riportato il dettaglio della performance dei ricavi generati nel corso dei quattro trimestri dell'anno fiscale.</w:t>
      </w:r>
    </w:p>
    <w:tbl>
      <w:tblPr>
        <w:tblStyle w:val="a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070"/>
        <w:gridCol w:w="4920"/>
      </w:tblGrid>
      <w:tr w:rsidR="009D24AC" w14:paraId="056EC242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0A478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Periodo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25B92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Ricavi (in Milioni di €)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FD0EC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Principali Driver di Crescita</w:t>
            </w:r>
          </w:p>
        </w:tc>
      </w:tr>
      <w:tr w:rsidR="009D24AC" w14:paraId="4F55A783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F0D43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Q1</w:t>
            </w:r>
            <w:r>
              <w:t xml:space="preserve"> (Gen-Mar)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C680F" w14:textId="77777777" w:rsidR="009D24AC" w:rsidRDefault="00000000">
            <w:pPr>
              <w:spacing w:after="480"/>
            </w:pPr>
            <w:r>
              <w:t>12M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0BB12" w14:textId="77777777" w:rsidR="009D24AC" w:rsidRDefault="00000000">
            <w:pPr>
              <w:spacing w:after="480"/>
            </w:pPr>
            <w:r>
              <w:t>Acquisizione di 3 nuovi key account nel settore banking.</w:t>
            </w:r>
          </w:p>
        </w:tc>
      </w:tr>
      <w:tr w:rsidR="009D24AC" w14:paraId="3E71943A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81DBD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Q2</w:t>
            </w:r>
            <w:r>
              <w:t xml:space="preserve"> (Apr-Giu)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9AAA2" w14:textId="77777777" w:rsidR="009D24AC" w:rsidRDefault="00000000">
            <w:pPr>
              <w:spacing w:after="480"/>
            </w:pPr>
            <w:r>
              <w:t>14M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3F3EC" w14:textId="77777777" w:rsidR="009D24AC" w:rsidRDefault="00000000">
            <w:pPr>
              <w:spacing w:after="480"/>
            </w:pPr>
            <w:r>
              <w:t>Espansione dei servizi di consulenza avanzata in area EMEA.</w:t>
            </w:r>
          </w:p>
        </w:tc>
      </w:tr>
      <w:tr w:rsidR="009D24AC" w14:paraId="245CEB6D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059B3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Q3</w:t>
            </w:r>
            <w:r>
              <w:t xml:space="preserve"> (Lug-Set)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DFFB1" w14:textId="77777777" w:rsidR="009D24AC" w:rsidRDefault="00000000">
            <w:pPr>
              <w:spacing w:after="480"/>
            </w:pPr>
            <w:r>
              <w:t>15M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71713" w14:textId="77777777" w:rsidR="009D24AC" w:rsidRDefault="00000000">
            <w:pPr>
              <w:spacing w:after="480"/>
            </w:pPr>
            <w:r>
              <w:t>Picco stagionale sulle licenze software per il comparto assicurativo.</w:t>
            </w:r>
          </w:p>
        </w:tc>
      </w:tr>
      <w:tr w:rsidR="009D24AC" w14:paraId="4BD2A9D1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07EEE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Q4</w:t>
            </w:r>
            <w:r>
              <w:t xml:space="preserve"> (Ott-Dic)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22B21" w14:textId="77777777" w:rsidR="009D24AC" w:rsidRDefault="00000000">
            <w:pPr>
              <w:spacing w:after="480"/>
            </w:pPr>
            <w:r>
              <w:t>18M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D7372" w14:textId="77777777" w:rsidR="009D24AC" w:rsidRDefault="00000000">
            <w:pPr>
              <w:spacing w:after="480"/>
            </w:pPr>
            <w:r>
              <w:t>Chiusura dei contratti enterprise e rinnovi pluriennali.</w:t>
            </w:r>
          </w:p>
        </w:tc>
      </w:tr>
      <w:tr w:rsidR="009D24AC" w14:paraId="03067963" w14:textId="77777777">
        <w:trPr>
          <w:trHeight w:val="825"/>
        </w:trPr>
        <w:tc>
          <w:tcPr>
            <w:tcW w:w="183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982C0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TOTALE ANNUO</w:t>
            </w:r>
          </w:p>
        </w:tc>
        <w:tc>
          <w:tcPr>
            <w:tcW w:w="207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9F90F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65M</w:t>
            </w:r>
          </w:p>
        </w:tc>
        <w:tc>
          <w:tcPr>
            <w:tcW w:w="4920" w:type="dxa"/>
            <w:tcBorders>
              <w:top w:val="single" w:sz="7" w:space="0" w:color="C4C7C5"/>
              <w:left w:val="single" w:sz="7" w:space="0" w:color="C4C7C5"/>
              <w:bottom w:val="single" w:sz="7" w:space="0" w:color="C4C7C5"/>
              <w:right w:val="single" w:sz="7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4914A" w14:textId="77777777" w:rsidR="009D24AC" w:rsidRDefault="00000000">
            <w:pPr>
              <w:spacing w:after="480"/>
            </w:pPr>
            <w:r>
              <w:rPr>
                <w:b/>
                <w:bCs/>
              </w:rPr>
              <w:t>Performance complessiva record per l'anno fiscale 2025.</w:t>
            </w:r>
          </w:p>
        </w:tc>
      </w:tr>
    </w:tbl>
    <w:p w14:paraId="2A6B729B" w14:textId="77777777" w:rsidR="009D24AC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40uvsrydkksz" w:colFirst="0" w:colLast="0"/>
      <w:bookmarkEnd w:id="4"/>
      <w:r>
        <w:rPr>
          <w:b/>
          <w:bCs/>
          <w:sz w:val="34"/>
          <w:szCs w:val="34"/>
        </w:rPr>
        <w:t>4. Rendiconto Finanziario e Flusso di Cassa (Cash Flow)</w:t>
      </w:r>
    </w:p>
    <w:p w14:paraId="77185B28" w14:textId="77777777" w:rsidR="009D24AC" w:rsidRDefault="00000000">
      <w:pPr>
        <w:spacing w:after="240"/>
      </w:pPr>
      <w:r>
        <w:t>La gestione della liquidità ha garantito la piena copertura degli investimenti operativi (CapEx) e il mantenimento di una solida posizione finanziaria netta.</w:t>
      </w:r>
    </w:p>
    <w:p w14:paraId="7C6DFCDF" w14:textId="77777777" w:rsidR="009D24AC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rrkpqy8rr18a" w:colFirst="0" w:colLast="0"/>
      <w:bookmarkEnd w:id="5"/>
      <w:r>
        <w:rPr>
          <w:b/>
          <w:bCs/>
          <w:color w:val="000000"/>
          <w:sz w:val="26"/>
          <w:szCs w:val="26"/>
        </w:rPr>
        <w:t>Flusso di Cassa Operativo (Operating Cash Flow)</w:t>
      </w:r>
    </w:p>
    <w:p w14:paraId="228AF438" w14:textId="77777777" w:rsidR="009D24AC" w:rsidRDefault="00000000">
      <w:pPr>
        <w:spacing w:after="240"/>
      </w:pPr>
      <w:r>
        <w:t xml:space="preserve">Il flusso generato dalle attività operative è stato pari a </w:t>
      </w:r>
      <w:r>
        <w:rPr>
          <w:b/>
          <w:bCs/>
        </w:rPr>
        <w:t>14,2 Milioni di €</w:t>
      </w:r>
      <w:r>
        <w:t xml:space="preserve">. Il risultato riflette l'ottima performance delle vendite nel Q3 e Q4, parzialmente controbilanciata da un incremento fisiologico del capitale circolante netto (CCN) legato alle tempistiche di incasso dei grandi clienti </w:t>
      </w:r>
      <w:r>
        <w:rPr>
          <w:i/>
          <w:iCs/>
        </w:rPr>
        <w:t>Enterprise</w:t>
      </w:r>
      <w:r>
        <w:t>.</w:t>
      </w:r>
    </w:p>
    <w:p w14:paraId="47C7CFE6" w14:textId="77777777" w:rsidR="009D24AC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36gi0a46yunl" w:colFirst="0" w:colLast="0"/>
      <w:bookmarkEnd w:id="6"/>
      <w:r>
        <w:rPr>
          <w:b/>
          <w:bCs/>
          <w:color w:val="000000"/>
          <w:sz w:val="26"/>
          <w:szCs w:val="26"/>
        </w:rPr>
        <w:t>Flusso di Cassa da Investimento (Investing Cash Flow)</w:t>
      </w:r>
    </w:p>
    <w:p w14:paraId="577F964D" w14:textId="77777777" w:rsidR="009D24AC" w:rsidRDefault="00000000">
      <w:pPr>
        <w:spacing w:after="240"/>
      </w:pPr>
      <w:r>
        <w:t xml:space="preserve">I deflussi per attività di investimento si attestano a </w:t>
      </w:r>
      <w:r>
        <w:rPr>
          <w:b/>
          <w:bCs/>
        </w:rPr>
        <w:t>-4,5 Milioni di €</w:t>
      </w:r>
      <w:r>
        <w:t>, allocati come segue:</w:t>
      </w:r>
    </w:p>
    <w:p w14:paraId="54B5E974" w14:textId="77777777" w:rsidR="009D24AC" w:rsidRDefault="00000000">
      <w:pPr>
        <w:numPr>
          <w:ilvl w:val="0"/>
          <w:numId w:val="1"/>
        </w:numPr>
      </w:pPr>
      <w:r>
        <w:rPr>
          <w:b/>
          <w:bCs/>
        </w:rPr>
        <w:t>3,1M €</w:t>
      </w:r>
      <w:r>
        <w:t xml:space="preserve"> in capitalizzazione dei costi di R&amp;S per la piattaforma "FinSecure NextGen".</w:t>
      </w:r>
    </w:p>
    <w:p w14:paraId="61C9ED0B" w14:textId="77777777" w:rsidR="009D24AC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1,4M €</w:t>
      </w:r>
      <w:r>
        <w:t xml:space="preserve"> per l'acquisizione di infrastrutture hardware e potenziamento della sicurezza dei data center.</w:t>
      </w:r>
    </w:p>
    <w:p w14:paraId="1A979A09" w14:textId="77777777" w:rsidR="009D24AC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e4he86i90ssl" w:colFirst="0" w:colLast="0"/>
      <w:bookmarkEnd w:id="7"/>
      <w:r>
        <w:rPr>
          <w:b/>
          <w:bCs/>
          <w:color w:val="000000"/>
          <w:sz w:val="26"/>
          <w:szCs w:val="26"/>
        </w:rPr>
        <w:t>Flusso di Cassa da Finanziamento (Financing Cash Flow)</w:t>
      </w:r>
    </w:p>
    <w:p w14:paraId="44FD1958" w14:textId="77777777" w:rsidR="009D24AC" w:rsidRDefault="00000000">
      <w:pPr>
        <w:spacing w:after="240"/>
      </w:pPr>
      <w:r>
        <w:t xml:space="preserve">Il flusso da attività finanziarie registra un saldo negativo di </w:t>
      </w:r>
      <w:r>
        <w:rPr>
          <w:b/>
          <w:bCs/>
        </w:rPr>
        <w:t>-3,2 Milioni di €</w:t>
      </w:r>
      <w:r>
        <w:t>, principalmente dovuto al pagamento dei dividendi deliberati per l'esercizio precedente e al rimborso della quota capitale di due finanziamenti a medio termine in scadenza.</w:t>
      </w:r>
    </w:p>
    <w:p w14:paraId="3CC22926" w14:textId="77777777" w:rsidR="009D24AC" w:rsidRDefault="00000000">
      <w:pPr>
        <w:spacing w:after="240"/>
        <w:ind w:left="600" w:right="600"/>
      </w:pPr>
      <w:r>
        <w:rPr>
          <w:b/>
          <w:bCs/>
        </w:rPr>
        <w:lastRenderedPageBreak/>
        <w:t>Nota di Sintesi sulla Liquidità:</w:t>
      </w:r>
      <w:r>
        <w:t xml:space="preserve"> La liquidità netta finale al 31 dicembre 2025 si attesta a </w:t>
      </w:r>
      <w:r>
        <w:rPr>
          <w:b/>
          <w:bCs/>
        </w:rPr>
        <w:t>8,5 Milioni di €</w:t>
      </w:r>
      <w:r>
        <w:t>, garantendo a FinSecure Analytics lo spazio di manovra necessario per supportare la crescita organica prevista per il primo semestre del 2026.</w:t>
      </w:r>
    </w:p>
    <w:p w14:paraId="7FB16B05" w14:textId="77777777" w:rsidR="009D24AC" w:rsidRDefault="009D24AC"/>
    <w:sectPr w:rsidR="009D24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8A0DC2-13B0-4546-A41E-69ECF13D16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FB1131-2E24-4934-B100-06F28A0320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A4468"/>
    <w:multiLevelType w:val="multilevel"/>
    <w:tmpl w:val="C4E2C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B71EF5"/>
    <w:multiLevelType w:val="multilevel"/>
    <w:tmpl w:val="AC12D2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1345816">
    <w:abstractNumId w:val="0"/>
  </w:num>
  <w:num w:numId="2" w16cid:durableId="148157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4AC"/>
    <w:rsid w:val="00142098"/>
    <w:rsid w:val="009D24AC"/>
    <w:rsid w:val="00D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BB77D"/>
  <w15:docId w15:val="{2304ADC5-BE8A-40FD-9010-1084DCA8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Umberto Cama</cp:lastModifiedBy>
  <cp:revision>2</cp:revision>
  <dcterms:created xsi:type="dcterms:W3CDTF">2026-05-26T16:52:00Z</dcterms:created>
  <dcterms:modified xsi:type="dcterms:W3CDTF">2026-05-26T16:54:00Z</dcterms:modified>
</cp:coreProperties>
</file>