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jc w:val="center"/>
      </w:pPr>
      <w:r>
        <w:rPr>
          <w:rFonts w:ascii="Arial" w:cs="Arial" w:eastAsia="Arial" w:hAnsi="Arial"/>
          <w:b/>
          <w:bCs/>
          <w:color w:val="2E5C8A"/>
          <w:sz w:val="48"/>
          <w:szCs w:val="48"/>
        </w:rPr>
        <w:t xml:space="preserve">PLUTO S.p.A.</w:t>
      </w:r>
    </w:p>
    <w:p>
      <w:pPr>
        <w:spacing w:after="240"/>
        <w:jc w:val="center"/>
      </w:pPr>
      <w:r>
        <w:rPr>
          <w:rFonts w:ascii="Arial" w:cs="Arial" w:eastAsia="Arial" w:hAnsi="Arial"/>
          <w:b/>
          <w:bCs/>
          <w:sz w:val="32"/>
          <w:szCs w:val="32"/>
        </w:rPr>
        <w:t xml:space="preserve">NOTA INTEGRATIVA AL BILANCIO CONSOLIDATO</w:t>
      </w:r>
    </w:p>
    <w:p>
      <w:pPr>
        <w:spacing w:after="240"/>
        <w:jc w:val="center"/>
      </w:pPr>
      <w:r>
        <w:rPr>
          <w:rFonts w:ascii="Arial" w:cs="Arial" w:eastAsia="Arial" w:hAnsi="Arial"/>
          <w:sz w:val="28"/>
          <w:szCs w:val="28"/>
        </w:rPr>
        <w:t xml:space="preserve">Esercizio Finanziario FY2025</w:t>
      </w:r>
    </w:p>
    <w:p>
      <w:pPr>
        <w:spacing w:after="240"/>
        <w:jc w:val="center"/>
      </w:pPr>
      <w:r>
        <w:rPr>
          <w:rFonts w:ascii="Arial" w:cs="Arial" w:eastAsia="Arial" w:hAnsi="Arial"/>
          <w:color w:val="666666"/>
          <w:sz w:val="22"/>
          <w:szCs w:val="22"/>
        </w:rPr>
        <w:t xml:space="preserve">(01 gennaio 2025 - 31 dicembre 2025)</w:t>
      </w:r>
    </w:p>
    <w:p>
      <w:pPr>
        <w:spacing w:after="720"/>
        <w:jc w:val="center"/>
      </w:pPr>
      <w:r>
        <w:rPr>
          <w:rFonts w:ascii="Arial" w:cs="Arial" w:eastAsia="Arial" w:hAnsi="Arial"/>
          <w:i/>
          <w:iCs/>
          <w:sz w:val="20"/>
          <w:szCs w:val="20"/>
        </w:rPr>
        <w:t xml:space="preserve">Approvata dal Consiglio di Amministrazione il 28 febbraio 2026</w:t>
      </w:r>
    </w:p>
    <w:p>
      <w:pPr>
        <w:pStyle w:val="Heading1"/>
        <w:spacing w:after="160" w:before="320"/>
      </w:pPr>
      <w:r>
        <w:rPr>
          <w:rFonts w:ascii="Arial" w:cs="Arial" w:eastAsia="Arial" w:hAnsi="Arial"/>
          <w:b/>
          <w:bCs/>
          <w:sz w:val="28"/>
          <w:szCs w:val="28"/>
        </w:rPr>
        <w:t xml:space="preserve">1. CRITERI DI REDAZIONE</w:t>
      </w:r>
    </w:p>
    <w:p>
      <w:pPr>
        <w:spacing w:after="120"/>
        <w:jc w:val="both"/>
      </w:pPr>
      <w:r>
        <w:rPr>
          <w:rFonts w:ascii="Arial" w:cs="Arial" w:eastAsia="Arial" w:hAnsi="Arial"/>
          <w:sz w:val="22"/>
          <w:szCs w:val="22"/>
        </w:rPr>
        <w:t xml:space="preserve">La presente Nota Integrativa e' redatta in conformita' ai principi contabili internazionali IAS/IFRS, come adottati dall'Unione Europea, nonche' alle disposizioni di cui al D.Lgs. 127/1991 e successive modifiche. Il bilancio e' redatto nella prospettiva della continuita' aziendale (going concern), applicando il criterio della competenza economica.</w:t>
      </w:r>
    </w:p>
    <w:p>
      <w:pPr>
        <w:spacing w:after="120"/>
        <w:jc w:val="both"/>
      </w:pPr>
      <w:r>
        <w:rPr>
          <w:rFonts w:ascii="Arial" w:cs="Arial" w:eastAsia="Arial" w:hAnsi="Arial"/>
          <w:sz w:val="22"/>
          <w:szCs w:val="22"/>
        </w:rPr>
        <w:t xml:space="preserve">I valori sono espressi in Euro, salvo diversa indicazione. I dati comparativi si riferiscono all'esercizio precedente (FY2024) e sono stati eventualmente riclassificati per garantire la comparabilita'.</w:t>
      </w:r>
    </w:p>
    <w:p>
      <w:pPr>
        <w:pStyle w:val="Heading2"/>
        <w:spacing w:after="120" w:before="240"/>
      </w:pPr>
      <w:r>
        <w:rPr>
          <w:rFonts w:ascii="Arial" w:cs="Arial" w:eastAsia="Arial" w:hAnsi="Arial"/>
          <w:b/>
          <w:bCs/>
          <w:sz w:val="24"/>
          <w:szCs w:val="24"/>
        </w:rPr>
        <w:t xml:space="preserve">1.1 Principi Contabili Adottati</w:t>
      </w:r>
    </w:p>
    <w:p>
      <w:pPr>
        <w:spacing w:after="120"/>
        <w:jc w:val="both"/>
      </w:pPr>
      <w:r>
        <w:rPr>
          <w:rFonts w:ascii="Arial" w:cs="Arial" w:eastAsia="Arial" w:hAnsi="Arial"/>
          <w:sz w:val="22"/>
          <w:szCs w:val="22"/>
        </w:rPr>
        <w:t xml:space="preserve">Pluto S.p.A. ha adottato i seguenti principi contabili internazionali:</w:t>
      </w:r>
    </w:p>
    <w:p>
      <w:pPr>
        <w:spacing w:after="80"/>
      </w:pPr>
      <w:r>
        <w:rPr>
          <w:rFonts w:ascii="Arial" w:cs="Arial" w:eastAsia="Arial" w:hAnsi="Arial"/>
          <w:sz w:val="22"/>
          <w:szCs w:val="22"/>
        </w:rPr>
        <w:t xml:space="preserve">- IFRS 9: Strumenti Finanziari - classificazione e misurazione delle attivita' finanziarie.</w:t>
      </w:r>
    </w:p>
    <w:p>
      <w:pPr>
        <w:spacing w:after="80"/>
      </w:pPr>
      <w:r>
        <w:rPr>
          <w:rFonts w:ascii="Arial" w:cs="Arial" w:eastAsia="Arial" w:hAnsi="Arial"/>
          <w:sz w:val="22"/>
          <w:szCs w:val="22"/>
        </w:rPr>
        <w:t xml:space="preserve">- IFRS 15: Ricavi provenienti da contratti con i clienti.</w:t>
      </w:r>
    </w:p>
    <w:p>
      <w:pPr>
        <w:spacing w:after="80"/>
      </w:pPr>
      <w:r>
        <w:rPr>
          <w:rFonts w:ascii="Arial" w:cs="Arial" w:eastAsia="Arial" w:hAnsi="Arial"/>
          <w:sz w:val="22"/>
          <w:szCs w:val="22"/>
        </w:rPr>
        <w:t xml:space="preserve">- IFRS 16: Leasing - rilevazione dei contratti di locazione operativa.</w:t>
      </w:r>
    </w:p>
    <w:p>
      <w:pPr>
        <w:spacing w:after="240"/>
      </w:pPr>
      <w:r>
        <w:rPr>
          <w:rFonts w:ascii="Arial" w:cs="Arial" w:eastAsia="Arial" w:hAnsi="Arial"/>
          <w:sz w:val="22"/>
          <w:szCs w:val="22"/>
        </w:rPr>
        <w:t xml:space="preserve">- IAS 19: Benefici per i dipendenti - calcolo attuariale del TFR.</w:t>
      </w:r>
    </w:p>
    <w:p>
      <w:pPr>
        <w:pStyle w:val="Heading1"/>
        <w:spacing w:after="160" w:before="320"/>
      </w:pPr>
      <w:r>
        <w:rPr>
          <w:rFonts w:ascii="Arial" w:cs="Arial" w:eastAsia="Arial" w:hAnsi="Arial"/>
          <w:b/>
          <w:bCs/>
          <w:sz w:val="28"/>
          <w:szCs w:val="28"/>
        </w:rPr>
        <w:t xml:space="preserve">2. RICAVI E PROVENTI</w:t>
      </w:r>
    </w:p>
    <w:p>
      <w:pPr>
        <w:spacing w:after="120"/>
        <w:jc w:val="both"/>
      </w:pPr>
      <w:r>
        <w:rPr>
          <w:rFonts w:ascii="Arial" w:cs="Arial" w:eastAsia="Arial" w:hAnsi="Arial"/>
          <w:sz w:val="22"/>
          <w:szCs w:val="22"/>
        </w:rPr>
        <w:t xml:space="preserve">I ricavi netti da servizi per FY2025 ammontano a Euro 48.200.000, con un incremento del 10,2% rispetto all'esercizio precedente (FY2024: Euro 43.750.000). La crescita e' attribuibile principalmente all'espansione della base clienti nel segmento corporate (+14,3%) e all'introduzione di nuovi servizi di advisory ESG (+22,1%).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10"/>
        <w:gridCol w:w="2008"/>
        <w:gridCol w:w="2008"/>
        <w:gridCol w:w="2000"/>
      </w:tblGrid>
      <w:tr>
        <w:tc>
          <w:tcPr>
            <w:tcW w:type="dxa" w:w="2256"/>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Linea di Ricavo</w:t>
            </w:r>
          </w:p>
        </w:tc>
        <w:tc>
          <w:tcPr>
            <w:tcW w:type="dxa" w:w="2256"/>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FY2025 (Euro)</w:t>
            </w:r>
          </w:p>
        </w:tc>
        <w:tc>
          <w:tcPr>
            <w:tcW w:type="dxa" w:w="2256"/>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FY2024 (Euro)</w:t>
            </w:r>
          </w:p>
        </w:tc>
        <w:tc>
          <w:tcPr>
            <w:tcW w:type="dxa" w:w="2256"/>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Variazione %</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Servizi di consulenza</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31.450.000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28.200.000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+11,5%</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Advisory ESG</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8.320.000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6.810.000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+22,1%</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Gestione patrimoniale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8.430.000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8.740.000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-3,5%</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Commissioni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6.340.000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5.980.000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+6,0%</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Altri ricavi operativi</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1.120.000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870.000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+28,7%</w:t>
            </w:r>
          </w:p>
        </w:tc>
      </w:tr>
      <w:tr>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TOTALE</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55.660.000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50.600.000</w:t>
            </w:r>
          </w:p>
        </w:tc>
        <w:tc>
          <w:tcPr>
            <w:tcW w:type="dxa" w:w="225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r>
    </w:tbl>
    <w:p>
      <w:pPr>
        <w:spacing w:after="240"/>
      </w:pPr>
    </w:p>
    <w:p>
      <w:pPr>
        <w:pStyle w:val="Heading1"/>
        <w:spacing w:after="160" w:before="320"/>
      </w:pPr>
      <w:r>
        <w:rPr>
          <w:rFonts w:ascii="Arial" w:cs="Arial" w:eastAsia="Arial" w:hAnsi="Arial"/>
          <w:b/>
          <w:bCs/>
          <w:sz w:val="28"/>
          <w:szCs w:val="28"/>
        </w:rPr>
        <w:t xml:space="preserve">3. COSTI OPERATIVI</w:t>
      </w:r>
    </w:p>
    <w:p>
      <w:pPr>
        <w:spacing w:after="120"/>
        <w:jc w:val="both"/>
      </w:pPr>
      <w:r>
        <w:rPr>
          <w:rFonts w:ascii="Arial" w:cs="Arial" w:eastAsia="Arial" w:hAnsi="Arial"/>
          <w:sz w:val="22"/>
          <w:szCs w:val="22"/>
        </w:rPr>
        <w:t xml:space="preserve">I costi operativi totali ammontano a Euro 38.710.000 (FY2024: Euro 35.760.000), con un incremento dell'8,2%. La principale componente di costo e' rappresentata dal costo del personale pari a Euro 21.450.000, in linea con il piano di sviluppo delle risorse umane approvato.</w:t>
      </w:r>
    </w:p>
    <w:p>
      <w:pPr>
        <w:pStyle w:val="Heading2"/>
        <w:spacing w:after="120" w:before="240"/>
      </w:pPr>
      <w:r>
        <w:rPr>
          <w:rFonts w:ascii="Arial" w:cs="Arial" w:eastAsia="Arial" w:hAnsi="Arial"/>
          <w:b/>
          <w:bCs/>
          <w:sz w:val="24"/>
          <w:szCs w:val="24"/>
        </w:rPr>
        <w:t xml:space="preserve">3.1 Costo del Personale</w:t>
      </w:r>
    </w:p>
    <w:p>
      <w:pPr>
        <w:spacing w:after="120"/>
        <w:jc w:val="both"/>
      </w:pPr>
      <w:r>
        <w:rPr>
          <w:rFonts w:ascii="Arial" w:cs="Arial" w:eastAsia="Arial" w:hAnsi="Arial"/>
          <w:sz w:val="22"/>
          <w:szCs w:val="22"/>
        </w:rPr>
        <w:t xml:space="preserve">Al 31 dicembre 2025 il Gruppo Pluto conta 312 dipendenti a tempo indeterminato, distribuiti come segue: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2256"/>
        <w:gridCol w:w="2257"/>
      </w:tblGrid>
      <w:tr>
        <w:tc>
          <w:tcPr>
            <w:tcW w:type="dxa" w:w="3008"/>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Sede</w:t>
            </w:r>
          </w:p>
        </w:tc>
        <w:tc>
          <w:tcPr>
            <w:tcW w:type="dxa" w:w="3008"/>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N. Dipendenti</w:t>
            </w:r>
          </w:p>
        </w:tc>
        <w:tc>
          <w:tcPr>
            <w:tcW w:type="dxa" w:w="3008"/>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rFonts w:ascii="Arial" w:cs="Arial" w:eastAsia="Arial" w:hAnsi="Arial"/>
                <w:b/>
                <w:bCs/>
                <w:color w:val="FFFFFF"/>
                <w:sz w:val="20"/>
                <w:szCs w:val="20"/>
              </w:rPr>
              <w:t xml:space="preserve">% su Totale</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Milano (HQ)</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187</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59,9%</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Roma</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78</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25,0%</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Torino</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47</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15,1%</w:t>
            </w:r>
          </w:p>
        </w:tc>
      </w:tr>
      <w:tr>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TOTALE</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312</w:t>
            </w:r>
          </w:p>
        </w:tc>
        <w:tc>
          <w:tcPr>
            <w:tcW w:type="dxa" w:w="30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100,0%</w:t>
            </w:r>
          </w:p>
        </w:tc>
      </w:tr>
    </w:tbl>
    <w:p>
      <w:pPr>
        <w:spacing w:after="240"/>
      </w:pPr>
    </w:p>
    <w:p>
      <w:pPr>
        <w:spacing w:after="120"/>
        <w:jc w:val="both"/>
      </w:pPr>
      <w:r>
        <w:rPr>
          <w:rFonts w:ascii="Arial" w:cs="Arial" w:eastAsia="Arial" w:hAnsi="Arial"/>
          <w:sz w:val="22"/>
          <w:szCs w:val="22"/>
        </w:rPr>
        <w:t xml:space="preserve">Il costo medio per dipendente e' pari a Euro 68.750, in crescita del 3,2% rispetto all'esercizio precedente, in linea con gli incrementi contrattuali previsti dal CCNL applicato.</w:t>
      </w:r>
    </w:p>
    <w:p>
      <w:pPr>
        <w:pStyle w:val="Heading1"/>
        <w:spacing w:after="160" w:before="320"/>
      </w:pPr>
      <w:r>
        <w:rPr>
          <w:rFonts w:ascii="Arial" w:cs="Arial" w:eastAsia="Arial" w:hAnsi="Arial"/>
          <w:b/>
          <w:bCs/>
          <w:sz w:val="28"/>
          <w:szCs w:val="28"/>
        </w:rPr>
        <w:t xml:space="preserve">4. ATTIVITA' FINANZIARIE E GESTIONE DEL RISCHIO</w:t>
      </w:r>
    </w:p>
    <w:p>
      <w:pPr>
        <w:spacing w:after="120"/>
        <w:jc w:val="both"/>
      </w:pPr>
      <w:r>
        <w:rPr>
          <w:rFonts w:ascii="Arial" w:cs="Arial" w:eastAsia="Arial" w:hAnsi="Arial"/>
          <w:sz w:val="22"/>
          <w:szCs w:val="22"/>
        </w:rPr>
        <w:t xml:space="preserve">Le attivita' finanziarie di Pluto S.p.A. sono classificate secondo IFRS 9 nelle seguenti categorie: (i) attivita' al fair value con variazioni a conto economico (FVTPL), (ii) attivita' al fair value con variazioni a OCI (FVOCI), e (iii) attivita' al costo ammortizzato.</w:t>
      </w:r>
    </w:p>
    <w:p>
      <w:pPr>
        <w:pStyle w:val="Heading2"/>
        <w:spacing w:after="120" w:before="240"/>
      </w:pPr>
      <w:r>
        <w:rPr>
          <w:rFonts w:ascii="Arial" w:cs="Arial" w:eastAsia="Arial" w:hAnsi="Arial"/>
          <w:b/>
          <w:bCs/>
          <w:sz w:val="24"/>
          <w:szCs w:val="24"/>
        </w:rPr>
        <w:t xml:space="preserve">4.1 Esposizione al Rischio di Credito</w:t>
      </w:r>
    </w:p>
    <w:p>
      <w:pPr>
        <w:spacing w:after="120"/>
        <w:jc w:val="both"/>
      </w:pPr>
      <w:r>
        <w:rPr>
          <w:rFonts w:ascii="Arial" w:cs="Arial" w:eastAsia="Arial" w:hAnsi="Arial"/>
          <w:sz w:val="22"/>
          <w:szCs w:val="22"/>
        </w:rPr>
        <w:t xml:space="preserve">Il portafoglio crediti verso clienti al 31 dicembre 2025 ammonta a Euro 11.230.000 (FY2024: Euro 10.450.000). La societa' applica il modello delle perdite attese (ECL) previsto da IFRS 9 per la svalutazione dei crediti commerciali.</w:t>
      </w:r>
    </w:p>
    <w:p>
      <w:pPr>
        <w:pStyle w:val="Heading2"/>
        <w:spacing w:after="120" w:before="240"/>
      </w:pPr>
      <w:r>
        <w:rPr>
          <w:rFonts w:ascii="Arial" w:cs="Arial" w:eastAsia="Arial" w:hAnsi="Arial"/>
          <w:b/>
          <w:bCs/>
          <w:sz w:val="24"/>
          <w:szCs w:val="24"/>
        </w:rPr>
        <w:t xml:space="preserve">4.2 Rischio di Liquidita'</w:t>
      </w:r>
    </w:p>
    <w:p>
      <w:pPr>
        <w:spacing w:after="120"/>
        <w:jc w:val="both"/>
      </w:pPr>
      <w:r>
        <w:rPr>
          <w:rFonts w:ascii="Arial" w:cs="Arial" w:eastAsia="Arial" w:hAnsi="Arial"/>
          <w:sz w:val="22"/>
          <w:szCs w:val="22"/>
        </w:rPr>
        <w:t xml:space="preserve">Pluto S.p.A. mantiene disponibilita' liquide per Euro 18.740.000, ampiamente sufficienti a coprire le obbligazioni correnti (Euro 13.518.000). Il Current Ratio al 31/12/2025 e' pari a 2,47x, in miglioramento rispetto al 2,69x del FY2024.</w:t>
      </w:r>
    </w:p>
    <w:p>
      <w:pPr>
        <w:pStyle w:val="Heading1"/>
        <w:spacing w:after="160" w:before="320"/>
      </w:pPr>
      <w:r>
        <w:rPr>
          <w:rFonts w:ascii="Arial" w:cs="Arial" w:eastAsia="Arial" w:hAnsi="Arial"/>
          <w:b/>
          <w:bCs/>
          <w:sz w:val="28"/>
          <w:szCs w:val="28"/>
        </w:rPr>
        <w:t xml:space="preserve">5. PATRIMONIO NETTO E DIVIDENDI</w:t>
      </w:r>
    </w:p>
    <w:p>
      <w:pPr>
        <w:spacing w:after="120"/>
        <w:jc w:val="both"/>
      </w:pPr>
      <w:r>
        <w:rPr>
          <w:rFonts w:ascii="Arial" w:cs="Arial" w:eastAsia="Arial" w:hAnsi="Arial"/>
          <w:sz w:val="22"/>
          <w:szCs w:val="22"/>
        </w:rPr>
        <w:t xml:space="preserve">Il patrimonio netto consolidato al 31 dicembre 2025 ammonta a Euro 22.702.000, con un incremento di Euro 3.085.000 rispetto all'esercizio precedente, riconducibile principalmente alla capitalizzazione dell'utile di periodo al netto dei dividendi distribuiti.</w:t>
      </w:r>
    </w:p>
    <w:p>
      <w:pPr>
        <w:spacing w:after="120"/>
        <w:jc w:val="both"/>
      </w:pPr>
      <w:r>
        <w:rPr>
          <w:rFonts w:ascii="Arial" w:cs="Arial" w:eastAsia="Arial" w:hAnsi="Arial"/>
          <w:sz w:val="22"/>
          <w:szCs w:val="22"/>
        </w:rPr>
        <w:t xml:space="preserve">Il Consiglio di Amministrazione propone la distribuzione di un dividendo di Euro 3.000.000 (Euro 0,60 per azione su 5.000.000 azioni ordinarie in circolazione), da porre in pagamento nel corso del primo semestre 2026.</w:t>
      </w:r>
    </w:p>
    <w:p>
      <w:pPr>
        <w:pStyle w:val="Heading1"/>
        <w:spacing w:after="160" w:before="320"/>
      </w:pPr>
      <w:r>
        <w:rPr>
          <w:rFonts w:ascii="Arial" w:cs="Arial" w:eastAsia="Arial" w:hAnsi="Arial"/>
          <w:b/>
          <w:bCs/>
          <w:sz w:val="28"/>
          <w:szCs w:val="28"/>
        </w:rPr>
        <w:t xml:space="preserve">6. IMPEGNI E RISCHI POTENZIALI</w:t>
      </w:r>
    </w:p>
    <w:p>
      <w:pPr>
        <w:spacing w:after="120"/>
        <w:jc w:val="both"/>
      </w:pPr>
      <w:r>
        <w:rPr>
          <w:rFonts w:ascii="Arial" w:cs="Arial" w:eastAsia="Arial" w:hAnsi="Arial"/>
          <w:sz w:val="22"/>
          <w:szCs w:val="22"/>
        </w:rPr>
        <w:t xml:space="preserve">Alla data di chiusura dell'esercizio non risultano contenziosi legali di rilievo pendenti. La societa' ha stanziato accantonamenti per rischi pari a Euro 950.000, ritenuti congrui rispetto alle passivita' potenziali identificate.</w:t>
      </w:r>
    </w:p>
    <w:p>
      <w:pPr>
        <w:spacing w:after="120"/>
        <w:jc w:val="both"/>
      </w:pPr>
      <w:r>
        <w:rPr>
          <w:rFonts w:ascii="Arial" w:cs="Arial" w:eastAsia="Arial" w:hAnsi="Arial"/>
          <w:sz w:val="22"/>
          <w:szCs w:val="22"/>
        </w:rPr>
        <w:t xml:space="preserve">Il piano di investimenti deliberato dal CdA per FY2025 prevede impegni complessivi per Euro 9.800.000, dettagliati nel separato documento 'Piano Investimenti FY2025'. Al 31/12/2025 risultano gia' erogati Euro 6.340.000 pari al 64,7% del budget complessivo.</w:t>
      </w:r>
    </w:p>
    <w:p>
      <w:pPr>
        <w:pStyle w:val="Heading1"/>
        <w:spacing w:after="160" w:before="320"/>
      </w:pPr>
      <w:r>
        <w:rPr>
          <w:rFonts w:ascii="Arial" w:cs="Arial" w:eastAsia="Arial" w:hAnsi="Arial"/>
          <w:b/>
          <w:bCs/>
          <w:sz w:val="28"/>
          <w:szCs w:val="28"/>
        </w:rPr>
        <w:t xml:space="preserve">7. EVENTI SUCCESSIVI ALLA CHIUSURA</w:t>
      </w:r>
    </w:p>
    <w:p>
      <w:pPr>
        <w:spacing w:after="120"/>
        <w:jc w:val="both"/>
      </w:pPr>
      <w:r>
        <w:rPr>
          <w:rFonts w:ascii="Arial" w:cs="Arial" w:eastAsia="Arial" w:hAnsi="Arial"/>
          <w:sz w:val="22"/>
          <w:szCs w:val="22"/>
        </w:rPr>
        <w:t xml:space="preserve">Non si segnalano eventi di rilievo verificatisi successivamente alla data del 31 dicembre 2025 e fino alla data di approvazione del presente bilancio (28 febbraio 2026) tali da richiedere rettifiche ai valori esposti in bilancio o informativa aggiuntiva.</w:t>
      </w:r>
    </w:p>
    <w:p>
      <w:pPr>
        <w:spacing w:before="480"/>
      </w:pPr>
    </w:p>
    <w:p>
      <w:pPr>
        <w:jc w:val="right"/>
      </w:pPr>
      <w:r>
        <w:rPr>
          <w:rFonts w:ascii="Arial" w:cs="Arial" w:eastAsia="Arial" w:hAnsi="Arial"/>
          <w:i/>
          <w:iCs/>
          <w:sz w:val="22"/>
          <w:szCs w:val="22"/>
        </w:rPr>
        <w:t xml:space="preserve">Milano, 28 febbraio 2026</w:t>
      </w:r>
    </w:p>
    <w:p>
      <w:pPr>
        <w:spacing w:after="120"/>
      </w:pPr>
    </w:p>
    <w:p>
      <w:pPr>
        <w:jc w:val="right"/>
      </w:pPr>
      <w:r>
        <w:rPr>
          <w:rFonts w:ascii="Arial" w:cs="Arial" w:eastAsia="Arial" w:hAnsi="Arial"/>
          <w:sz w:val="22"/>
          <w:szCs w:val="22"/>
        </w:rPr>
        <w:t xml:space="preserve">Il Presidente del Consiglio di Amministrazione</w:t>
      </w:r>
    </w:p>
    <w:p>
      <w:pPr>
        <w:jc w:val="right"/>
      </w:pPr>
      <w:r>
        <w:rPr>
          <w:rFonts w:ascii="Arial" w:cs="Arial" w:eastAsia="Arial" w:hAnsi="Arial"/>
          <w:b/>
          <w:bCs/>
          <w:sz w:val="22"/>
          <w:szCs w:val="22"/>
        </w:rPr>
        <w:t xml:space="preserve">Dott. Luca Bianchi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C8A"/>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2026-06-21T09:28:50.415Z</dcterms:created>
  <dcterms:modified xsi:type="dcterms:W3CDTF">2026-06-21T09:28:50.416Z</dcterms:modified>
</cp:coreProperties>
</file>

<file path=docProps/custom.xml><?xml version="1.0" encoding="utf-8"?>
<Properties xmlns="http://schemas.openxmlformats.org/officeDocument/2006/custom-properties" xmlns:vt="http://schemas.openxmlformats.org/officeDocument/2006/docPropsVTypes"/>
</file>