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b w:val="1"/>
        </w:rPr>
      </w:pPr>
      <w:r w:rsidDel="00000000" w:rsidR="00000000" w:rsidRPr="00000000">
        <w:rPr>
          <w:b w:val="1"/>
          <w:rtl w:val="0"/>
        </w:rPr>
        <w:t xml:space="preserve">Public Research Use Statement</w:t>
      </w:r>
    </w:p>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We seek to detect aberrantly expressed genes and altered pathways in transcriptome data derived from cancer patients in order to describe their molecular profile, identify actionable oncogenes and predict treatment response. Our standard transcriptome sequencing pipeline, however, does not include sequencing matched normal samples. Thus, we plan to use GTEx normal samples from the same tissue as controls to complement the genome-directed discovery with transcriptome profiling in the context of routine precision medicine sequencing performed in University of Melbourne Centre for Cancer Research (UMCCR).</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Technical Research Use Statement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Our objective is to improve the molecular detection and diagnosis of various cancer types, prioritise therapeutic selection and enabling programs in personalised cancer care. To achieve this we generate different levels of high-throughput biological data, such as whole-genome and transcriptome, in the context of routine precision medicine sequencing. Currently, our patient reporting system is based on genome-directed discovery, which we plan to complement with transcriptome profiling to aid identification of aberrantly expressed genes, deregulated pathways, oncogenic fusion genes, as well as stratification of patients into relevant molecular groups. The transcriptomics data are analysed using bcbio RNA-seq pipeline (https://bcbio-nextgen.readthedocs.io/en/latest/contents/pipelines.html#rna-seq) with STAR used for initial alignment, Salmon/Kallisto for quantification and Pizzly/Oncofuse for detecting gene fusions. To identify aberrantly expressed genes, however, we need control samples derived from the same tissue. Hence, we plan to process GTEx raw reads, derived from normal tissue corresponding to the tumor type, with bcbio RNA-seq pipeline to obtain uniformly processed data that can be used as control cohort. This integrative approach will facilitate determining more precise molecular and genetic profile of each patient and ultimately will tailor medical treatment to their individual characteristics.</w:t>
      </w:r>
    </w:p>
    <w:p w:rsidR="00000000" w:rsidDel="00000000" w:rsidP="00000000" w:rsidRDefault="00000000" w:rsidRPr="00000000" w14:paraId="00000008">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