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i w:val="0"/>
        </w:rPr>
        <w:t>Methods</w:t>
      </w:r>
    </w:p>
    <w:p>
      <w:pPr>
        <w:keepNext/>
      </w:pPr>
      <w:r>
        <w:rPr>
          <w:b/>
          <w:i w:val="0"/>
        </w:rPr>
        <w:t>Study design and participants</w:t>
      </w:r>
    </w:p>
    <w:p>
      <w:pPr>
        <w:ind w:firstLine="720"/>
      </w:pPr>
      <w:r>
        <w:rPr>
          <w:b w:val="0"/>
          <w:i w:val="0"/>
        </w:rPr>
        <w:t xml:space="preserve">This retrospective cohort study was conducted at Fukushima Medical University Hospital. We identified patients aged 20 to 79 years who underwent radical surgical resection for pathologically confirmed pancreatic ductal adenocarcinoma between May 2010 and August 2019. Patients who received neoadjuvant chemoradiotherapy (NACRT) with concurrent gemcitabine before radical resection were compared with patients who underwent radical resection alone, without any preoperative chemotherapy or radiotherapy, during the same period. Paraffin-embedded tumor tissue from the resected specimen was required for inclusion; pretreatment biopsy tissue was not required. Patients without available paraffin-embedded sections, those with rare histological subtypes, and those in whom the resected specimen was judged non-neoplastic on pathological review were excluded. After applying these criteria, 24 patients who received NACRT and 62 patients who did not were included in the analysis. This study was approved by the Institutional Review Board of Fukushima Medical University (approval no. </w:t>
      </w:r>
      <w:r>
        <w:rPr>
          <w:b w:val="0"/>
          <w:i w:val="0"/>
          <w:highlight w:val="yellow"/>
        </w:rPr>
        <w:t>[IRB number]</w:t>
      </w:r>
      <w:r>
        <w:rPr>
          <w:b w:val="0"/>
          <w:i w:val="0"/>
        </w:rPr>
        <w:t>) and was conducted in accordance with the ethical principles of the Declaration of Helsinki.</w:t>
      </w:r>
    </w:p>
    <w:p>
      <w:pPr>
        <w:keepNext/>
      </w:pPr>
      <w:r>
        <w:rPr>
          <w:b/>
          <w:i w:val="0"/>
        </w:rPr>
        <w:t>Intervention or exposure</w:t>
      </w:r>
    </w:p>
    <w:p>
      <w:pPr>
        <w:ind w:firstLine="720"/>
      </w:pPr>
      <w:r>
        <w:rPr>
          <w:b w:val="0"/>
          <w:i w:val="0"/>
        </w:rPr>
        <w:t>Patients in the NACRT group received chemoradiotherapy with single-agent gemcitabine, following the neoadjuvant chemoradiotherapy regimen recommended at the time of treatment. Radiotherapy was delivered concurrently with gemcitabine in conventional fractionation to a total dose of 54 Gy in 30 fractions, encompassing the primary tumor with a margin and the regional lymph node area. Patients in the comparator group underwent radical resection without any preceding chemotherapy or radiotherapy.</w:t>
      </w:r>
    </w:p>
    <w:p>
      <w:pPr>
        <w:keepNext/>
      </w:pPr>
      <w:r>
        <w:rPr>
          <w:b/>
          <w:i w:val="0"/>
        </w:rPr>
        <w:t>Outcomes and definitions</w:t>
      </w:r>
    </w:p>
    <w:p>
      <w:pPr>
        <w:keepNext/>
      </w:pPr>
      <w:r>
        <w:rPr>
          <w:b/>
          <w:i/>
        </w:rPr>
        <w:t>Immunohistochemical staining</w:t>
      </w:r>
    </w:p>
    <w:p>
      <w:pPr>
        <w:ind w:firstLine="720"/>
      </w:pPr>
      <w:r>
        <w:rPr>
          <w:b w:val="0"/>
          <w:i w:val="0"/>
        </w:rPr>
        <w:t>Formalin-fixed, paraffin-embedded surgical specimens were cut into 4-μm-thick sections and deparaffinized according to routine procedures. Antigen retrieval conditions were optimized separately for each marker. For CD8, sections were heated in Target Retrieval Solution (pH 9.0; Agilent Technologies, Santa Clara, CA, USA) at 100°C for 20 minutes. For HLA class I, sections were autoclaved in citrate buffer (pH 6.0) at 121°C for 10 minutes and allowed to cool at room temperature for 1 hour. For PD-L1, sections were autoclaved in Target Retrieval Solution (pH 9.0; Agilent Technologies) at 120°C for 10 minutes. After retrieval, sections were rinsed in deionized water and washed in phosphate-buffered saline (PBS). Endogenous peroxidase activity was blocked with 3% hydrogen peroxide for 15 minutes.</w:t>
      </w:r>
    </w:p>
    <w:p>
      <w:pPr>
        <w:ind w:firstLine="720"/>
      </w:pPr>
      <w:r>
        <w:rPr>
          <w:b w:val="0"/>
          <w:i w:val="0"/>
        </w:rPr>
        <w:t>Sections were then incubated overnight at 4°C for 16 hours with the following primary antibodies: anti-CD8 (1:600; clone C8/144B; Agilent Technologies), anti-HLA class I-ABC (1:400; clone EMR8-5; Hokudo, Sapporo, Japan), and anti-PD-L1 (1:400; clone E1L3N; Cell Signaling Technology, Danvers, MA, USA). For CD8 and HLA class I, an avidin-biotin-complex-labeled anti-mouse secondary antibody (VECTASTAIN ABC-HRP Kit; Vector Laboratories) was applied for 30 minutes at room temperature. For PD-L1, a horseradish-peroxidase-conjugated anti-rabbit polymer (Envision+ System-HRP; Agilent Technologies) was applied for 30 minutes at room temperature. Immunoreactivity was visualized with 3,3′-diaminobenzidine. For PD-L1, sections were counterstained with Mayer's hematoxylin for 1 minute at room temperature; sections stained for CD8 and HLA class I were not counterstained, and adjacent serial sections were stained with hematoxylin and eosin (H&amp;E) for histological reference.</w:t>
      </w:r>
    </w:p>
    <w:p>
      <w:pPr>
        <w:keepNext/>
      </w:pPr>
      <w:r>
        <w:rPr>
          <w:b/>
          <w:i/>
        </w:rPr>
        <w:t>Evaluation of immunohistochemical staining</w:t>
      </w:r>
    </w:p>
    <w:p>
      <w:pPr>
        <w:ind w:firstLine="720"/>
      </w:pPr>
      <w:r>
        <w:rPr>
          <w:b w:val="0"/>
          <w:i w:val="0"/>
        </w:rPr>
        <w:t>For assessment of CD8+ tumor-infiltrating lymphocytes, hotspot areas of tumor-infiltrating lymphocytes were selected in four independent fields within the intratumoral region and the invasive front of each surgically resected specimen at ×200 magnification. CD8+ cells in each field were counted using Patholoscope version 1.8.0 (MITANI Co., Fukui, Japan), and the mean count across the four fields was calculated.</w:t>
      </w:r>
    </w:p>
    <w:p>
      <w:pPr>
        <w:ind w:firstLine="720"/>
      </w:pPr>
      <w:r>
        <w:rPr>
          <w:b w:val="0"/>
          <w:i w:val="0"/>
        </w:rPr>
        <w:t>Expression of HLA class I was scored according to the percentage of tumor cells showing positive membranous staining, using the same five-tier scoring system applied in our institution's previous work on the tumor immune microenvironment [1]: 0, &lt;1%; 1, 1–9%; 2, 10–49%; 3, 50–79%; and 4, ≥80%.</w:t>
      </w:r>
    </w:p>
    <w:p>
      <w:pPr>
        <w:ind w:firstLine="720"/>
      </w:pPr>
      <w:r>
        <w:rPr>
          <w:b w:val="0"/>
          <w:i w:val="0"/>
        </w:rPr>
        <w:t>Specimens were considered PD-L1-positive when dark brown membranous staining was observed in &gt;1% of tumor cells; all other specimens were considered negative.</w:t>
      </w:r>
    </w:p>
    <w:p>
      <w:pPr>
        <w:ind w:firstLine="720"/>
      </w:pPr>
      <w:r>
        <w:rPr>
          <w:b w:val="0"/>
          <w:i w:val="0"/>
        </w:rPr>
        <w:t xml:space="preserve">CD8 and HLA class I staining were each assessed independently by two observers (K.U. and </w:t>
      </w:r>
      <w:r>
        <w:rPr>
          <w:b w:val="0"/>
          <w:i w:val="0"/>
          <w:highlight w:val="yellow"/>
        </w:rPr>
        <w:t>T.S.</w:t>
      </w:r>
      <w:r>
        <w:rPr>
          <w:b w:val="0"/>
          <w:i w:val="0"/>
        </w:rPr>
        <w:t>), and discrepant results were resolved by joint reassessment and consensus.</w:t>
      </w:r>
    </w:p>
    <w:p>
      <w:pPr>
        <w:keepNext/>
      </w:pPr>
      <w:r>
        <w:rPr>
          <w:b/>
          <w:i w:val="0"/>
        </w:rPr>
        <w:t>Statistical analysis</w:t>
      </w:r>
    </w:p>
    <w:p>
      <w:pPr>
        <w:ind w:firstLine="720"/>
      </w:pPr>
      <w:r>
        <w:rPr>
          <w:b w:val="0"/>
          <w:i w:val="0"/>
        </w:rPr>
        <w:t>Continuous and ordinal variables, including the number of CD8+ cells and the HLA class I expression score, were compared between the NACRT and comparator groups using the Mann-Whitney U test; results are reported as medians with 95% confidence intervals estimated by bootstrap resampling (10,000 iterations). Categorical variables, including patient background characteristics, PD-L1 positivity, and the dichotomized HLA class I expression (score 0–2 versus 3–4), were compared using Fisher's exact test. A two-sided p-value of &lt;0.05 was considered statistically significant. Statistical analyses were performed using Python version 3.9.21 with the pandas (version 2.2.3), SciPy (version 1.13.1), and NumPy (version 1.26.4) libraries.</w:t>
      </w:r>
    </w:p>
    <w:p>
      <w:pPr>
        <w:keepNext/>
      </w:pPr>
      <w:r>
        <w:rPr>
          <w:b/>
          <w:i w:val="0"/>
        </w:rPr>
        <w:t>References</w:t>
      </w:r>
    </w:p>
    <w:p>
      <w:pPr>
        <w:ind w:left="504" w:hanging="504"/>
      </w:pPr>
      <w:r>
        <w:rPr>
          <w:b w:val="0"/>
          <w:i w:val="0"/>
        </w:rPr>
        <w:t>1.</w:t>
        <w:tab/>
        <w:t>Takehara Y, Tamaki T, Mimura K, Saito K, Neupane P, Tada T, Watanabe Y, Hayase S, Saze Z, Yoshimoto Y, Sato H, Kono K, Suzuki Y. Immunological responses associated with neoadjuvant therapy in the tumor microenvironment of esophageal squamous cell carcinoma. Anticancer Res. 2023;43(10):4691-4700. doi: 10.21873/anticanres.16665.</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