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4.png" ContentType="image/png"/>
  <Override PartName="/word/media/rId57.png" ContentType="image/png"/>
  <Override PartName="/word/media/rId6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модели</w:t>
      </w:r>
      <w:r>
        <w:t xml:space="preserve"> </w:t>
      </w:r>
      <w:r>
        <w:t xml:space="preserve">SIR</w:t>
      </w:r>
      <w:r>
        <w:t xml:space="preserve"> </w:t>
      </w:r>
      <w:r>
        <w:t xml:space="preserve">в</w:t>
      </w:r>
      <w:r>
        <w:t xml:space="preserve"> </w:t>
      </w:r>
      <w:r>
        <w:t xml:space="preserve">дискретно-событийном</w:t>
      </w:r>
      <w:r>
        <w:t xml:space="preserve"> </w:t>
      </w:r>
      <w:r>
        <w:t xml:space="preserve">подходе</w:t>
      </w:r>
    </w:p>
    <w:p>
      <w:pPr>
        <w:pStyle w:val="Author"/>
      </w:pPr>
      <w:r>
        <w:t xml:space="preserve">Назармамадов</w:t>
      </w:r>
      <w:r>
        <w:t xml:space="preserve"> </w:t>
      </w:r>
      <w:r>
        <w:t xml:space="preserve">Умед</w:t>
      </w:r>
      <w:r>
        <w:t xml:space="preserve"> </w:t>
      </w:r>
      <w:r>
        <w:t xml:space="preserve">Джамшедович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реализация классической эпидемиологической модели SIR в дискретно-событийном подходе на уровне отдельных индивидов, а также исследование чувствительности модели к параметрам и сравнение стохастической и детерминированной версий длительности болезни.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 и 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дискретно-событийную модель SIR на уровне отдельных индивидов с использованием библиотеки ConcurrentSim.jl.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чувствительности модели к параметру заразности beta.</w:t>
      </w:r>
    </w:p>
    <w:p>
      <w:pPr>
        <w:pStyle w:val="Compact"/>
        <w:numPr>
          <w:ilvl w:val="0"/>
          <w:numId w:val="1001"/>
        </w:numPr>
      </w:pPr>
      <w:r>
        <w:t xml:space="preserve">Сравнить стохастическую и детерминированную длительность болезни.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 и сгенерировать чистый код, документацию Quarto и Jupyter Notebook.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отличие от популяционной модели SIR (система ОДУ) и агентной модели на графе городов, дискретно-событийная реализация моделирует каждого индивида как независимый процесс в полностью смешивающейся популяции конечного размера. Каждый восприимчивый индивид периодически (с интенсивностью c) выбирает случайного собеседника из популяции; если тот инфицирован, заражение происходит с вероятностью beta. Заразившийся индивид остаётся инфекционным случайное экспоненциальное время со средним 1/gamma, после чего выздоравливает. Такой подход позволяет учесть случайные флуктуации и возможность раннего затухания эпидемии при малом начальном числе инфицированных, которые невозможно уловить в детерминированной модели ОДУ.</w:t>
      </w:r>
    </w:p>
    <w:bookmarkEnd w:id="22"/>
    <w:bookmarkStart w:id="6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подготовка-окружения"/>
    <w:p>
      <w:pPr>
        <w:pStyle w:val="Heading2"/>
      </w:pPr>
      <w:r>
        <w:t xml:space="preserve">4.1 Подготовка окружения</w:t>
      </w:r>
    </w:p>
    <w:p>
      <w:pPr>
        <w:pStyle w:val="FirstParagraph"/>
      </w:pPr>
      <w:r>
        <w:t xml:space="preserve">Для реализации модели был установлен язык Julia и необходимые пакеты: ConcurrentSim, ResumableFunctions, Distributions, StatsPlots, BenchmarkTools, DataFrames и DrWatson.</w:t>
      </w:r>
    </w:p>
    <w:p>
      <w:pPr>
        <w:pStyle w:val="CaptionedFigure"/>
      </w:pPr>
      <w:r>
        <w:drawing>
          <wp:inline>
            <wp:extent cx="4267200" cy="2110780"/>
            <wp:effectExtent b="0" l="0" r="0" t="0"/>
            <wp:docPr descr="Создание проекта и запуск Julia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1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 и запуск Julia</w:t>
      </w:r>
    </w:p>
    <w:p>
      <w:pPr>
        <w:pStyle w:val="CaptionedFigure"/>
      </w:pPr>
      <w:r>
        <w:drawing>
          <wp:inline>
            <wp:extent cx="4267200" cy="1565145"/>
            <wp:effectExtent b="0" l="0" r="0" t="0"/>
            <wp:docPr descr="Установка необходимых пакет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65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необходимых пакетов</w:t>
      </w:r>
    </w:p>
    <w:bookmarkEnd w:id="29"/>
    <w:bookmarkStart w:id="33" w:name="реализация-модели"/>
    <w:p>
      <w:pPr>
        <w:pStyle w:val="Heading2"/>
      </w:pPr>
      <w:r>
        <w:t xml:space="preserve">4.2 Реализация модели</w:t>
      </w:r>
    </w:p>
    <w:p>
      <w:pPr>
        <w:pStyle w:val="FirstParagraph"/>
      </w:pPr>
      <w:r>
        <w:t xml:space="preserve">Модель реализована в модуле src/sir_model.jl. Каждый индивид представлен структурой SIRPerson с идентификатором и статусом (:S, :I или :R). Функция live реализует жизненный цикл индивида: восприимчивый индивид периодически контактирует со случайным членом популяции и заражается с вероятностью beta, если контакт инфицирован; инфицированный индивид через экспоненциальное время выздоравливает. При каждом изменении статуса обновляется статистика модели (массивы времени события и численности каждой группы).</w:t>
      </w:r>
    </w:p>
    <w:p>
      <w:pPr>
        <w:pStyle w:val="CaptionedFigure"/>
      </w:pPr>
      <w:r>
        <w:drawing>
          <wp:inline>
            <wp:extent cx="4267200" cy="2425925"/>
            <wp:effectExtent b="0" l="0" r="0" t="0"/>
            <wp:docPr descr="Код модуля src/sir_model.jl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25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модуля src/sir_model.jl</w:t>
      </w:r>
    </w:p>
    <w:bookmarkEnd w:id="33"/>
    <w:bookmarkStart w:id="43" w:name="базовый-запуск-модели"/>
    <w:p>
      <w:pPr>
        <w:pStyle w:val="Heading2"/>
      </w:pPr>
      <w:r>
        <w:t xml:space="preserve">4.3 Базовый запуск модели</w:t>
      </w:r>
    </w:p>
    <w:p>
      <w:pPr>
        <w:pStyle w:val="FirstParagraph"/>
      </w:pPr>
      <w:r>
        <w:t xml:space="preserve">Для запуска базовой модели создан файл scripts/sir_des.jl. Начальные условия: S=990, I=10, R=0, параметры beta=0.05, c=10.0, gamma=0.25, длительность симуляции 40 единиц модельного времени.</w:t>
      </w:r>
    </w:p>
    <w:p>
      <w:pPr>
        <w:pStyle w:val="CaptionedFigure"/>
      </w:pPr>
      <w:r>
        <w:drawing>
          <wp:inline>
            <wp:extent cx="4267200" cy="2456872"/>
            <wp:effectExtent b="0" l="0" r="0" t="0"/>
            <wp:docPr descr="Код скрипта sir_des.jl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56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sir_des.jl</w:t>
      </w:r>
    </w:p>
    <w:p>
      <w:pPr>
        <w:pStyle w:val="CaptionedFigure"/>
      </w:pPr>
      <w:r>
        <w:drawing>
          <wp:inline>
            <wp:extent cx="4267200" cy="1035837"/>
            <wp:effectExtent b="0" l="0" r="0" t="0"/>
            <wp:docPr descr="Запуск базовой модели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5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базовой модели</w:t>
      </w:r>
    </w:p>
    <w:p>
      <w:pPr>
        <w:pStyle w:val="CaptionedFigure"/>
      </w:pPr>
      <w:r>
        <w:drawing>
          <wp:inline>
            <wp:extent cx="4267200" cy="2844800"/>
            <wp:effectExtent b="0" l="0" r="0" t="0"/>
            <wp:docPr descr="График дискретно-событийной модели SIR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дискретно-событийной модели SIR</w:t>
      </w:r>
    </w:p>
    <w:p>
      <w:pPr>
        <w:pStyle w:val="BodyText"/>
      </w:pPr>
      <w:r>
        <w:t xml:space="preserve">Результаты демонстрируют классическую динамику эпидемии на уровне отдельных индивидов: быстрый рост числа инфицированных до пика с последующим спадом по мере перехода индивидов в группу выздоровевших, при этом график содержит характерную стохастическую</w:t>
      </w:r>
      <w:r>
        <w:t xml:space="preserve"> </w:t>
      </w:r>
      <w:r>
        <w:t xml:space="preserve">“</w:t>
      </w:r>
      <w:r>
        <w:t xml:space="preserve">шероховатость</w:t>
      </w:r>
      <w:r>
        <w:t xml:space="preserve">”</w:t>
      </w:r>
      <w:r>
        <w:t xml:space="preserve">, отсутствующую в детерминированной ОДУ-модели.</w:t>
      </w:r>
    </w:p>
    <w:bookmarkEnd w:id="43"/>
    <w:bookmarkStart w:id="53" w:name="анализ-чувствительности-к-параметрам"/>
    <w:p>
      <w:pPr>
        <w:pStyle w:val="Heading2"/>
      </w:pPr>
      <w:r>
        <w:t xml:space="preserve">4.4 Анализ чувствительности к параметрам</w:t>
      </w:r>
    </w:p>
    <w:p>
      <w:pPr>
        <w:pStyle w:val="FirstParagraph"/>
      </w:pPr>
      <w:r>
        <w:t xml:space="preserve">Для исследования влияния коэффициента заразности beta на динамику эпидемии создан файл scripts/sir_sensitivity.jl. Проведены прогоны модели с одним и тем же зерном генератора случайных чисел для трёх значений beta (0.03, 0.05, 0.07), для каждого прогона зафиксированы пиковое число инфицированных, время достижения пика и итоговая доля переболевших.</w:t>
      </w:r>
    </w:p>
    <w:p>
      <w:pPr>
        <w:pStyle w:val="CaptionedFigure"/>
      </w:pPr>
      <w:r>
        <w:drawing>
          <wp:inline>
            <wp:extent cx="4267200" cy="2300078"/>
            <wp:effectExtent b="0" l="0" r="0" t="0"/>
            <wp:docPr descr="Код скрипта sir_sensitivity.jl" title="" id="45" name="Picture"/>
            <a:graphic>
              <a:graphicData uri="http://schemas.openxmlformats.org/drawingml/2006/picture">
                <pic:pic>
                  <pic:nvPicPr>
                    <pic:cNvPr descr="image/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0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sir_sensitivity.jl</w:t>
      </w:r>
    </w:p>
    <w:p>
      <w:pPr>
        <w:pStyle w:val="CaptionedFigure"/>
      </w:pPr>
      <w:r>
        <w:drawing>
          <wp:inline>
            <wp:extent cx="4267200" cy="926505"/>
            <wp:effectExtent b="0" l="0" r="0" t="0"/>
            <wp:docPr descr="Запуск анализа чувствительности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6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анализа чувствительности</w:t>
      </w:r>
    </w:p>
    <w:p>
      <w:pPr>
        <w:pStyle w:val="CaptionedFigure"/>
      </w:pPr>
      <w:r>
        <w:drawing>
          <wp:inline>
            <wp:extent cx="4267200" cy="2833140"/>
            <wp:effectExtent b="0" l="0" r="0" t="0"/>
            <wp:docPr descr="График сравнения динамики I(t) для разных значений beta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сравнения динамики I(t) для разных значений beta</w:t>
      </w:r>
    </w:p>
    <w:p>
      <w:pPr>
        <w:pStyle w:val="BodyText"/>
      </w:pPr>
      <w:r>
        <w:t xml:space="preserve">Результаты показывают</w:t>
      </w:r>
    </w:p>
    <w:p>
      <w:pPr>
        <w:pStyle w:val="BodyText"/>
      </w:pPr>
      <w:r>
        <w:t xml:space="preserve">что увеличение коэффициента заразности приводит к более раннему и более высокому пику эпидемии, а также к большей итоговой доле переболевших, что согласуется с теоретическими предсказаниями популяционных моделей SIR.</w:t>
      </w:r>
    </w:p>
    <w:bookmarkEnd w:id="53"/>
    <w:bookmarkStart w:id="60" w:name="X03e69333c5eb02121951c53aa6abe9dc2b9553a"/>
    <w:p>
      <w:pPr>
        <w:pStyle w:val="Heading2"/>
      </w:pPr>
      <w:r>
        <w:t xml:space="preserve">4.5 Сравнение стохастической и детерминированной длительности болезни</w:t>
      </w:r>
    </w:p>
    <w:p>
      <w:pPr>
        <w:pStyle w:val="FirstParagraph"/>
      </w:pPr>
      <w:r>
        <w:t xml:space="preserve">Для оценки влияния случайности длительности болезни на динамику эпидемии создан файл scripts/sir_deterministic_compare.jl. В нём реализована модификация модели, в которой время выздоровления либо разыгрывается из экспоненциального распределения (стохастический вариант), либо всегда равно фиксированной величине 1/gamma (детерминированный вариант). Оба варианта запущены с одинаковым зерном генератора случайных чисел.</w:t>
      </w:r>
    </w:p>
    <w:p>
      <w:pPr>
        <w:pStyle w:val="CaptionedFigure"/>
      </w:pPr>
      <w:r>
        <w:drawing>
          <wp:inline>
            <wp:extent cx="4267200" cy="2272961"/>
            <wp:effectExtent b="0" l="0" r="0" t="0"/>
            <wp:docPr descr="Код скрипта sir_deterministic_compare.jl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2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sir_deterministic_compare.jl</w:t>
      </w:r>
    </w:p>
    <w:p>
      <w:pPr>
        <w:pStyle w:val="CaptionedFigure"/>
      </w:pPr>
      <w:r>
        <w:drawing>
          <wp:inline>
            <wp:extent cx="4267200" cy="2849549"/>
            <wp:effectExtent b="0" l="0" r="0" t="0"/>
            <wp:docPr descr="График сравнения стохастической и детерминированной длительности болезни" title="" id="58" name="Picture"/>
            <a:graphic>
              <a:graphicData uri="http://schemas.openxmlformats.org/drawingml/2006/picture">
                <pic:pic>
                  <pic:nvPicPr>
                    <pic:cNvPr descr="image/1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49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сравнения стохастической и детерминированной длительности болезни</w:t>
      </w:r>
    </w:p>
    <w:p>
      <w:pPr>
        <w:pStyle w:val="BodyText"/>
      </w:pPr>
      <w:r>
        <w:t xml:space="preserve">Сравнение показывает, что при детерминированной длительности болезни выздоровление индивидов происходит более синхронно (отсутствуют</w:t>
      </w:r>
      <w:r>
        <w:t xml:space="preserve"> </w:t>
      </w:r>
      <w:r>
        <w:t xml:space="preserve">“</w:t>
      </w:r>
      <w:r>
        <w:t xml:space="preserve">хвосты</w:t>
      </w:r>
      <w:r>
        <w:t xml:space="preserve">”</w:t>
      </w:r>
      <w:r>
        <w:t xml:space="preserve"> </w:t>
      </w:r>
      <w:r>
        <w:t xml:space="preserve">экспоненциального распределения), что приводит к более резкому и более выраженному пику, а также несколько более быстрому завершению эпидемии по сравнению со стохастическим вариантом.</w:t>
      </w:r>
    </w:p>
    <w:bookmarkEnd w:id="60"/>
    <w:bookmarkStart w:id="64" w:name="генерация-производных-форматов"/>
    <w:p>
      <w:pPr>
        <w:pStyle w:val="Heading2"/>
      </w:pPr>
      <w:r>
        <w:t xml:space="preserve">4.6 Генерация производных форматов</w:t>
      </w:r>
    </w:p>
    <w:p>
      <w:pPr>
        <w:pStyle w:val="FirstParagraph"/>
      </w:pPr>
      <w:r>
        <w:t xml:space="preserve">Для преобразования всех трёх скриптов в литературный стиль использован вспомогательный скрипт tangle.jl на основе библиотеки Literate.jl. Для каждого скрипта сгенерированы чистый исполняемый код, документация в формате Quarto и Jupyter Notebook, который затем был выполнен.</w:t>
      </w:r>
    </w:p>
    <w:p>
      <w:pPr>
        <w:pStyle w:val="CaptionedFigure"/>
      </w:pPr>
      <w:r>
        <w:drawing>
          <wp:inline>
            <wp:extent cx="4267200" cy="2263673"/>
            <wp:effectExtent b="0" l="0" r="0" t="0"/>
            <wp:docPr descr="Код скрипта tangle.jl" title="" id="62" name="Picture"/>
            <a:graphic>
              <a:graphicData uri="http://schemas.openxmlformats.org/drawingml/2006/picture">
                <pic:pic>
                  <pic:nvPicPr>
                    <pic:cNvPr descr="image/1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6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скрипта tangle.jl</w:t>
      </w:r>
    </w:p>
    <w:bookmarkEnd w:id="64"/>
    <w:bookmarkEnd w:id="65"/>
    <w:bookmarkStart w:id="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реализована дискретно-событийная модель SIR на уровне отдельных индивидов с использованием библиотеки ConcurrentSim.jl. Проведённый анализ чувствительности подтвердил, что увеличение заразности beta усиливает и ускоряет эпидемию, а сравнение стохастической и детерминированной длительности болезни показало, что случайность времени выздоровления сглаживает пик эпидемии и растягивает её во времени по сравнению с фиксированной длительностью. Весь код преобразован в литературный стиль с генерацией нескольких производных форматов.</w:t>
      </w:r>
    </w:p>
    <w:bookmarkEnd w:id="66"/>
    <w:bookmarkStart w:id="68" w:name="список-литературы"/>
    <w:p>
      <w:pPr>
        <w:pStyle w:val="Heading1"/>
      </w:pPr>
      <w:r>
        <w:t xml:space="preserve">Список литературы</w:t>
      </w:r>
    </w:p>
    <w:bookmarkStart w:id="67" w:name="refs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Назармамадов Умед Джамшедович</dc:creator>
  <dc:language>ru-RU</dc:language>
  <cp:keywords/>
  <dcterms:created xsi:type="dcterms:W3CDTF">2026-09-04T14:50:44Z</dcterms:created>
  <dcterms:modified xsi:type="dcterms:W3CDTF">2026-09-04T14:50:44Z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модели SIR в дискретно-событийном подходе</vt:lpwstr>
  </property>
  <property fmtid="{D5CDD505-2E9C-101B-9397-08002B2CF9AE}" pid="16" name="toc-title">
    <vt:lpwstr>Содержание</vt:lpwstr>
  </property>
</Properties>
</file>