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8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Реализация</w:t>
      </w:r>
      <w:r>
        <w:t xml:space="preserve"> </w:t>
      </w:r>
      <w:r>
        <w:t xml:space="preserve">модели</w:t>
      </w:r>
      <w:r>
        <w:t xml:space="preserve"> </w:t>
      </w:r>
      <w:r>
        <w:t xml:space="preserve">SIR</w:t>
      </w:r>
      <w:r>
        <w:t xml:space="preserve"> </w:t>
      </w:r>
      <w:r>
        <w:t xml:space="preserve">в</w:t>
      </w:r>
      <w:r>
        <w:t xml:space="preserve"> </w:t>
      </w:r>
      <w:r>
        <w:t xml:space="preserve">подходе</w:t>
      </w:r>
      <w:r>
        <w:t xml:space="preserve"> </w:t>
      </w:r>
      <w:r>
        <w:t xml:space="preserve">сетей</w:t>
      </w:r>
      <w:r>
        <w:t xml:space="preserve"> </w:t>
      </w:r>
      <w:r>
        <w:t xml:space="preserve">Петри</w:t>
      </w:r>
    </w:p>
    <w:p>
      <w:pPr>
        <w:pStyle w:val="Author"/>
      </w:pPr>
      <w:r>
        <w:t xml:space="preserve">Назармамадов</w:t>
      </w:r>
      <w:r>
        <w:t xml:space="preserve"> </w:t>
      </w:r>
      <w:r>
        <w:t xml:space="preserve">Умед</w:t>
      </w:r>
      <w:r>
        <w:t xml:space="preserve"> </w:t>
      </w:r>
      <w:r>
        <w:t xml:space="preserve">Джамшедович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реализация классической эпидемиологической модели SIR в формализме сетей Петри с использованием детерминированного (на основе ОДУ) и стохастического (алгоритм Гиллеспи) подходов к моделированию, а также исследование чувствительности модели к параметру заразности.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 и 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SIR в формализме сетей Петри с переходами infection (S+I -&gt; I+I) и recovery (I -&gt; R).</w:t>
      </w:r>
    </w:p>
    <w:p>
      <w:pPr>
        <w:pStyle w:val="Compact"/>
        <w:numPr>
          <w:ilvl w:val="0"/>
          <w:numId w:val="1001"/>
        </w:numPr>
      </w:pPr>
      <w:r>
        <w:t xml:space="preserve">Провести детерминированную и стохастическую симуляции и построить графики динамики.</w:t>
      </w:r>
    </w:p>
    <w:p>
      <w:pPr>
        <w:pStyle w:val="Compact"/>
        <w:numPr>
          <w:ilvl w:val="0"/>
          <w:numId w:val="1001"/>
        </w:numPr>
      </w:pPr>
      <w:r>
        <w:t xml:space="preserve">Провести сканирование параметра заразности beta и построить график зависимости пика заболеваемости и итогового числа выздоровевших от beta.</w:t>
      </w:r>
    </w:p>
    <w:p>
      <w:pPr>
        <w:pStyle w:val="Compact"/>
        <w:numPr>
          <w:ilvl w:val="0"/>
          <w:numId w:val="1001"/>
        </w:numPr>
      </w:pPr>
      <w:r>
        <w:t xml:space="preserve">Построить анимацию динамики численности групп S, I, R.</w:t>
      </w:r>
    </w:p>
    <w:p>
      <w:pPr>
        <w:pStyle w:val="Compact"/>
        <w:numPr>
          <w:ilvl w:val="0"/>
          <w:numId w:val="1001"/>
        </w:numPr>
      </w:pPr>
      <w:r>
        <w:t xml:space="preserve">Построить итоговый сравнительный отчёт (детерминированная vs стохастическая динамика, чувствительность к beta).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и сгенерировать чистый код, документацию Quarto и Jupyter Notebook.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SIR может быть представлена в формализме сетей Петри, где состояния S, I, R являются позициями сети, а переходы между ними описывают события эпидемиологического процесса. Переход infection моделирует заражение: S + I -&gt; I + I со скоростью, пропорциональной beta</w:t>
      </w:r>
      <w:r>
        <w:rPr>
          <w:i/>
          <w:iCs/>
        </w:rPr>
        <w:t xml:space="preserve">S</w:t>
      </w:r>
      <w:r>
        <w:t xml:space="preserve">I (закон действующих масс). Переход recovery моделирует выздоровление: I -&gt; R со скоростью gamma*I.</w:t>
      </w:r>
    </w:p>
    <w:p>
      <w:pPr>
        <w:pStyle w:val="BodyText"/>
      </w:pPr>
      <w:r>
        <w:t xml:space="preserve">На основе такой сети возможны два типа симуляции. Детерминированная симуляция строит систему обыкновенных дифференциальных уравнений на основе закона действующих масс и решает её численно, давая плавную усреднённую динамику. Стохастическая симуляция использует прямой метод алгоритма Гиллеспи (Stochastic Simulation Algorithm), моделируя дискретные случайные события заражения и выздоровления с учётом их интенсивностей, что позволяет учесть случайные флуктуации, особенно значимые при малой численности популяции.</w:t>
      </w:r>
    </w:p>
    <w:bookmarkEnd w:id="22"/>
    <w:bookmarkStart w:id="7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2" w:name="подготовка-окружения"/>
    <w:p>
      <w:pPr>
        <w:pStyle w:val="Heading2"/>
      </w:pPr>
      <w:r>
        <w:t xml:space="preserve">4.1 Подготовка окружения</w:t>
      </w:r>
    </w:p>
    <w:p>
      <w:pPr>
        <w:pStyle w:val="FirstParagraph"/>
      </w:pPr>
      <w:r>
        <w:t xml:space="preserve">Для реализации модели был установлен язык Julia и необходимые пакеты: OrdinaryDiffEq, DataFrames, CSV, Plots и DrWatson.</w:t>
      </w:r>
    </w:p>
    <w:p>
      <w:pPr>
        <w:pStyle w:val="CaptionedFigure"/>
      </w:pPr>
      <w:r>
        <w:drawing>
          <wp:inline>
            <wp:extent cx="4267200" cy="1195421"/>
            <wp:effectExtent b="0" l="0" r="0" t="0"/>
            <wp:docPr descr="Создание проекта и запуск Julia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95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проекта и запуск Julia</w:t>
      </w:r>
    </w:p>
    <w:p>
      <w:pPr>
        <w:pStyle w:val="CaptionedFigure"/>
      </w:pPr>
      <w:r>
        <w:drawing>
          <wp:inline>
            <wp:extent cx="4267200" cy="2280678"/>
            <wp:effectExtent b="0" l="0" r="0" t="0"/>
            <wp:docPr descr="Инициализация проекта DrWatson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80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проекта DrWatson</w:t>
      </w:r>
    </w:p>
    <w:p>
      <w:pPr>
        <w:pStyle w:val="CaptionedFigure"/>
      </w:pPr>
      <w:r>
        <w:drawing>
          <wp:inline>
            <wp:extent cx="4267200" cy="1903597"/>
            <wp:effectExtent b="0" l="0" r="0" t="0"/>
            <wp:docPr descr="Установка необходимых пакетов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03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необходимых пакетов</w:t>
      </w:r>
    </w:p>
    <w:bookmarkEnd w:id="32"/>
    <w:bookmarkStart w:id="36" w:name="реализация-модели"/>
    <w:p>
      <w:pPr>
        <w:pStyle w:val="Heading2"/>
      </w:pPr>
      <w:r>
        <w:t xml:space="preserve">4.2 Реализация модели</w:t>
      </w:r>
    </w:p>
    <w:p>
      <w:pPr>
        <w:pStyle w:val="FirstParagraph"/>
      </w:pPr>
      <w:r>
        <w:t xml:space="preserve">Модель реализована в модуле src/SIRPetri.jl. Функция build_sir_network создаёт сеть с параметрами beta и gamma и задаёт начальную маркировку S=990, I=10, R=0. Функция simulate_deterministic строит и решает систему ОДУ методом Tsit5, а simulate_stochastic реализует прямой метод Гиллеспи, на каждом шаге вычисляя интенсивности событий заражения и выздоровления и разыгрывая время и тип следующего события.</w:t>
      </w:r>
    </w:p>
    <w:p>
      <w:pPr>
        <w:pStyle w:val="CaptionedFigure"/>
      </w:pPr>
      <w:r>
        <w:drawing>
          <wp:inline>
            <wp:extent cx="4267200" cy="2348523"/>
            <wp:effectExtent b="0" l="0" r="0" t="0"/>
            <wp:docPr descr="Код модуля src/SIRPetri.jl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48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модуля src/SIRPetri.jl</w:t>
      </w:r>
    </w:p>
    <w:bookmarkEnd w:id="36"/>
    <w:bookmarkStart w:id="43" w:name="базовый-прогон-модели"/>
    <w:p>
      <w:pPr>
        <w:pStyle w:val="Heading2"/>
      </w:pPr>
      <w:r>
        <w:t xml:space="preserve">4.3 Базовый прогон модели</w:t>
      </w:r>
    </w:p>
    <w:p>
      <w:pPr>
        <w:pStyle w:val="FirstParagraph"/>
      </w:pPr>
      <w:r>
        <w:t xml:space="preserve">Для сравнения детерминированной и стохастической динамики создан файл scripts/sirpetri_run.jl. Модель запускается с параметрами beta=0.3, gamma=0.1 на время tmax=100.</w:t>
      </w:r>
    </w:p>
    <w:p>
      <w:pPr>
        <w:pStyle w:val="CaptionedFigure"/>
      </w:pPr>
      <w:r>
        <w:drawing>
          <wp:inline>
            <wp:extent cx="4267200" cy="2313353"/>
            <wp:effectExtent b="0" l="0" r="0" t="0"/>
            <wp:docPr descr="Код скрипта sirpetri_run.jl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13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sirpetri_run.jl</w:t>
      </w:r>
    </w:p>
    <w:p>
      <w:pPr>
        <w:pStyle w:val="CaptionedFigure"/>
      </w:pPr>
      <w:r>
        <w:drawing>
          <wp:inline>
            <wp:extent cx="4267200" cy="327659"/>
            <wp:effectExtent b="0" l="0" r="0" t="0"/>
            <wp:docPr descr="Запуск базового прогона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7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базового прогона</w:t>
      </w:r>
    </w:p>
    <w:p>
      <w:pPr>
        <w:pStyle w:val="BodyText"/>
      </w:pPr>
      <w:r>
        <w:t xml:space="preserve">Детерминированный график демонстрирует классическую картину эпидемии: рост числа инфицированных до пика с последующим спадом до нуля, при этом восприимчивые убывают, а выздоровевшие монотонно растут до плато. Стохастическая траектория близка к детерминированной за счёт большого начального числа восприимчивых (990), однако содержит характерный шум, вызванный случайностью отдельных событий.</w:t>
      </w:r>
    </w:p>
    <w:bookmarkEnd w:id="43"/>
    <w:bookmarkStart w:id="47" w:name="сканирование-параметра-заразности"/>
    <w:p>
      <w:pPr>
        <w:pStyle w:val="Heading2"/>
      </w:pPr>
      <w:r>
        <w:t xml:space="preserve">4.4 Сканирование параметра заразности</w:t>
      </w:r>
    </w:p>
    <w:p>
      <w:pPr>
        <w:pStyle w:val="FirstParagraph"/>
      </w:pPr>
      <w:r>
        <w:t xml:space="preserve">Для исследования чувствительности модели к коэффициенту заразности beta создан файл scripts/sirpetri_scan_parameters.jl. Проведена серия детерминированных симуляций для значений beta от 0.1 до 0.8 с шагом 0.05 при фиксированном gamma=0.1.</w:t>
      </w:r>
    </w:p>
    <w:p>
      <w:pPr>
        <w:pStyle w:val="BodyText"/>
      </w:pPr>
      <w:r>
        <w:t xml:space="preserve">![Код скрипта</w:t>
      </w:r>
    </w:p>
    <w:p>
      <w:pPr>
        <w:pStyle w:val="BodyText"/>
      </w:pPr>
      <w:r>
        <w:t xml:space="preserve">etri_scan_parameters.jl](image/7.png){width=80%}</w:t>
      </w:r>
    </w:p>
    <w:p>
      <w:pPr>
        <w:pStyle w:val="CaptionedFigure"/>
      </w:pPr>
      <w:r>
        <w:drawing>
          <wp:inline>
            <wp:extent cx="4267200" cy="341376"/>
            <wp:effectExtent b="0" l="0" r="0" t="0"/>
            <wp:docPr descr="Запуск сканирования параметра beta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1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сканирования параметра beta</w:t>
      </w:r>
    </w:p>
    <w:p>
      <w:pPr>
        <w:pStyle w:val="BodyText"/>
      </w:pPr>
      <w:r>
        <w:t xml:space="preserve">Результаты демонстрируют пороговое явление, характерное для модели SIR: при малых значениях beta эпидемия практически не развивается (пик инфицированных и итоговое число выздоровевших близки к нулю), однако при превышении некоторого критического значения beta пик заболеваемости резко возрастает и выходит на насыщение, когда практически всё население переболевает.</w:t>
      </w:r>
    </w:p>
    <w:bookmarkEnd w:id="47"/>
    <w:bookmarkStart w:id="57" w:name="анимация-динамики"/>
    <w:p>
      <w:pPr>
        <w:pStyle w:val="Heading2"/>
      </w:pPr>
      <w:r>
        <w:t xml:space="preserve">4.5 Анимация динамики</w:t>
      </w:r>
    </w:p>
    <w:p>
      <w:pPr>
        <w:pStyle w:val="FirstParagraph"/>
      </w:pPr>
      <w:r>
        <w:t xml:space="preserve">Для наглядной демонстрации изменения численности групп S, I, R во времени создан файл scripts/sirpetri_animate.jl, строящий анимированную столбчатую диаграмму на основе детерминированной симуляции.</w:t>
      </w:r>
    </w:p>
    <w:p>
      <w:pPr>
        <w:pStyle w:val="CaptionedFigure"/>
      </w:pPr>
      <w:r>
        <w:drawing>
          <wp:inline>
            <wp:extent cx="4267200" cy="2315907"/>
            <wp:effectExtent b="0" l="0" r="0" t="0"/>
            <wp:docPr descr="Код скрипта sirpetri_animate.jl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15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sirpetri_animate.jl</w:t>
      </w:r>
    </w:p>
    <w:p>
      <w:pPr>
        <w:pStyle w:val="CaptionedFigure"/>
      </w:pPr>
      <w:r>
        <w:drawing>
          <wp:inline>
            <wp:extent cx="4267200" cy="485081"/>
            <wp:effectExtent b="0" l="0" r="0" t="0"/>
            <wp:docPr descr="Запуск генерации анимации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85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генерации анимации</w:t>
      </w:r>
    </w:p>
    <w:p>
      <w:pPr>
        <w:pStyle w:val="CaptionedFigure"/>
      </w:pPr>
      <w:r>
        <w:drawing>
          <wp:inline>
            <wp:extent cx="4267200" cy="2833025"/>
            <wp:effectExtent b="0" l="0" r="0" t="0"/>
            <wp:docPr descr="Кадр анимации: численность групп S, I, R в определённый момент времени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3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Кадр анимации: численность групп S, I, R в определённый момент времени</w:t>
      </w:r>
    </w:p>
    <w:p>
      <w:pPr>
        <w:pStyle w:val="BodyText"/>
      </w:pPr>
      <w:r>
        <w:t xml:space="preserve">Анимация наглядно показывает волну эпидемии: на первых кадрах преобладает группа восприимчивых, затем растёт число инфицированных до пика, после чего оно снижается, а численность выздоровевших продолжает расти.</w:t>
      </w:r>
    </w:p>
    <w:bookmarkEnd w:id="57"/>
    <w:bookmarkStart w:id="67" w:name="итоговый-сравнительный-отчёт"/>
    <w:p>
      <w:pPr>
        <w:pStyle w:val="Heading2"/>
      </w:pPr>
      <w:r>
        <w:t xml:space="preserve">4.6 Итоговый сравнительный отчёт</w:t>
      </w:r>
    </w:p>
    <w:p>
      <w:pPr>
        <w:pStyle w:val="FirstParagraph"/>
      </w:pPr>
      <w:r>
        <w:t xml:space="preserve">Для сводного анализа результатов создан файл scripts/sirpetri_report.jl, загружающий ранее сохранённые CSV-файлы и строящий два сравнительных графика.</w:t>
      </w:r>
    </w:p>
    <w:p>
      <w:pPr>
        <w:pStyle w:val="CaptionedFigure"/>
      </w:pPr>
      <w:r>
        <w:drawing>
          <wp:inline>
            <wp:extent cx="4267200" cy="2339057"/>
            <wp:effectExtent b="0" l="0" r="0" t="0"/>
            <wp:docPr descr="Код скрипта sirpetri_report.jl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39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sirpetri_report.jl</w:t>
      </w:r>
    </w:p>
    <w:p>
      <w:pPr>
        <w:pStyle w:val="CaptionedFigure"/>
      </w:pPr>
      <w:r>
        <w:drawing>
          <wp:inline>
            <wp:extent cx="4267200" cy="2812154"/>
            <wp:effectExtent b="0" l="0" r="0" t="0"/>
            <wp:docPr descr="График сравнения детерминированной и стохастической динамики I(t)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12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сравнения детерминированной и стохастической динамики I(t)</w:t>
      </w:r>
    </w:p>
    <w:p>
      <w:pPr>
        <w:pStyle w:val="CaptionedFigure"/>
      </w:pPr>
      <w:r>
        <w:drawing>
          <wp:inline>
            <wp:extent cx="4267200" cy="2849525"/>
            <wp:effectExtent b="0" l="0" r="0" t="0"/>
            <wp:docPr descr="График чувствительности: зависимость пика I от beta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9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чувствительности: зависимость пика I от beta</w:t>
      </w:r>
    </w:p>
    <w:p>
      <w:pPr>
        <w:pStyle w:val="BodyText"/>
      </w:pPr>
      <w:r>
        <w:t xml:space="preserve">Сравнение детерминированной и стохастической кривых I(t) показывает, что при большом размере популяции они близки, а график чувствительности количественно демонстрирует, как рост заразности beta влияет на тяжесть эпидемии.</w:t>
      </w:r>
    </w:p>
    <w:bookmarkEnd w:id="67"/>
    <w:bookmarkStart w:id="71" w:name="генерация-производных-форматов"/>
    <w:p>
      <w:pPr>
        <w:pStyle w:val="Heading2"/>
      </w:pPr>
      <w:r>
        <w:t xml:space="preserve">4.7 Генерация производных форматов</w:t>
      </w:r>
    </w:p>
    <w:p>
      <w:pPr>
        <w:pStyle w:val="FirstParagraph"/>
      </w:pPr>
      <w:r>
        <w:t xml:space="preserve">Для преобразования всех четырёх скриптов в литературный стиль использован вспомогательный скрипт tangle.jl на основе библиотеки Literate.jl. Для каждого скрипта сгенерированы чистый исполняемый код, документация в формате Quarto и Jupyter Notebook, который затем был выполнен.</w:t>
      </w:r>
    </w:p>
    <w:p>
      <w:pPr>
        <w:pStyle w:val="CaptionedFigure"/>
      </w:pPr>
      <w:r>
        <w:drawing>
          <wp:inline>
            <wp:extent cx="4267200" cy="2304446"/>
            <wp:effectExtent b="0" l="0" r="0" t="0"/>
            <wp:docPr descr="Код скрипта tangle.jl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04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tangle.jl</w:t>
      </w:r>
    </w:p>
    <w:bookmarkEnd w:id="71"/>
    <w:bookmarkEnd w:id="72"/>
    <w:bookmarkStart w:id="7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реализована модель SIR в формализме сетей Петри с двумя подходами к моделированию — детерминированным на основе ОДУ и стохастическим на основе алгоритма Гиллеспи. Проведённое сканирование параметра заразности подтвердило наличие порогового явления, характерного для эпидемиологических моделей: существует критическое значение beta, ниже которого эпидемия не развивается, а выше — быстро охватывает практически всю популяцию. Построенные анимация и сравнительные графики наглядно продемонстрировали динамику эпидемии и близость детерминированной и стохастической траекторий при большой численности популяции. Весь код преобразован в литературный стиль с генерацией нескольких производных форматов.</w:t>
      </w:r>
    </w:p>
    <w:bookmarkEnd w:id="73"/>
    <w:bookmarkStart w:id="75" w:name="список-литературы"/>
    <w:p>
      <w:pPr>
        <w:pStyle w:val="Heading1"/>
      </w:pPr>
      <w:r>
        <w:t xml:space="preserve">Список литературы</w:t>
      </w:r>
    </w:p>
    <w:bookmarkStart w:id="74" w:name="refs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Назармамадов Умед Джамшедович</dc:creator>
  <dc:language>ru-RU</dc:language>
  <cp:keywords/>
  <dcterms:created xsi:type="dcterms:W3CDTF">2026-09-04T11:09:08Z</dcterms:created>
  <dcterms:modified xsi:type="dcterms:W3CDTF">2026-09-04T11:09:08Z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Реализация модели SIR в подходе сетей Петри</vt:lpwstr>
  </property>
  <property fmtid="{D5CDD505-2E9C-101B-9397-08002B2CF9AE}" pid="16" name="toc-title">
    <vt:lpwstr>Содержание</vt:lpwstr>
  </property>
</Properties>
</file>