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8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Структуры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Умед</w:t>
      </w:r>
      <w:r>
        <w:t xml:space="preserve"> </w:t>
      </w:r>
      <w:r>
        <w:t xml:space="preserve">Джамшедович</w:t>
      </w:r>
      <w:r>
        <w:t xml:space="preserve"> </w:t>
      </w:r>
      <w:r>
        <w:t xml:space="preserve">Назармамадов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отчёте</w:t>
      </w:r>
      <w:r>
        <w:t xml:space="preserve"> </w:t>
      </w:r>
      <w:r>
        <w:t xml:space="preserve">рассмотрены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структуры</w:t>
      </w:r>
      <w:r>
        <w:t xml:space="preserve"> </w:t>
      </w:r>
      <w:r>
        <w:t xml:space="preserve">данных</w:t>
      </w:r>
      <w:r>
        <w:t xml:space="preserve"> </w:t>
      </w:r>
      <w:r>
        <w:t xml:space="preserve">языка</w:t>
      </w:r>
      <w:r>
        <w:t xml:space="preserve"> </w:t>
      </w:r>
      <w:r>
        <w:t xml:space="preserve">Julia:</w:t>
      </w:r>
      <w:r>
        <w:t xml:space="preserve"> </w:t>
      </w:r>
      <w:r>
        <w:t xml:space="preserve">кортежи,</w:t>
      </w:r>
      <w:r>
        <w:t xml:space="preserve"> </w:t>
      </w:r>
      <w:r>
        <w:t xml:space="preserve">словари,</w:t>
      </w:r>
      <w:r>
        <w:t xml:space="preserve"> </w:t>
      </w:r>
      <w:r>
        <w:t xml:space="preserve">множества</w:t>
      </w:r>
      <w:r>
        <w:t xml:space="preserve"> </w:t>
      </w:r>
      <w:r>
        <w:t xml:space="preserve">и</w:t>
      </w:r>
      <w:r>
        <w:t xml:space="preserve"> </w:t>
      </w:r>
      <w:r>
        <w:t xml:space="preserve">массивы,</w:t>
      </w:r>
      <w:r>
        <w:t xml:space="preserve"> </w:t>
      </w:r>
      <w:r>
        <w:t xml:space="preserve">а</w:t>
      </w:r>
      <w:r>
        <w:t xml:space="preserve"> </w:t>
      </w:r>
      <w:r>
        <w:t xml:space="preserve">также</w:t>
      </w:r>
      <w:r>
        <w:t xml:space="preserve"> </w:t>
      </w:r>
      <w:r>
        <w:t xml:space="preserve">общие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ними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isempty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</w:t>
      </w:r>
      <w:r>
        <w:t xml:space="preserve">/</w:t>
      </w:r>
      <w:r>
        <w:rPr>
          <w:rStyle w:val="VerbatimChar"/>
        </w:rPr>
        <w:t xml:space="preserve">minimum</w:t>
      </w:r>
      <w:r>
        <w:t xml:space="preserve">).</w:t>
      </w:r>
    </w:p>
    <w:p>
      <w:pPr>
        <w:pStyle w:val="Abstract"/>
      </w:pPr>
      <w:r>
        <w:t xml:space="preserve">Воспроизведены</w:t>
      </w:r>
      <w:r>
        <w:t xml:space="preserve"> </w:t>
      </w:r>
      <w:r>
        <w:t xml:space="preserve">примеры</w:t>
      </w:r>
      <w:r>
        <w:t xml:space="preserve"> </w:t>
      </w:r>
      <w:r>
        <w:t xml:space="preserve">из</w:t>
      </w:r>
      <w:r>
        <w:t xml:space="preserve"> </w:t>
      </w:r>
      <w:r>
        <w:t xml:space="preserve">методических</w:t>
      </w:r>
      <w:r>
        <w:t xml:space="preserve"> </w:t>
      </w:r>
      <w:r>
        <w:t xml:space="preserve">указаний</w:t>
      </w:r>
      <w:r>
        <w:t xml:space="preserve"> </w:t>
      </w:r>
      <w:r>
        <w:t xml:space="preserve">и</w:t>
      </w:r>
      <w:r>
        <w:t xml:space="preserve"> </w:t>
      </w:r>
      <w:r>
        <w:t xml:space="preserve">выполнены</w:t>
      </w:r>
      <w:r>
        <w:t xml:space="preserve"> </w:t>
      </w: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работы:</w:t>
      </w:r>
      <w:r>
        <w:t xml:space="preserve"> </w:t>
      </w:r>
      <w:r>
        <w:t xml:space="preserve">операции</w:t>
      </w:r>
      <w:r>
        <w:t xml:space="preserve"> </w:t>
      </w:r>
      <w:r>
        <w:t xml:space="preserve">над</w:t>
      </w:r>
      <w:r>
        <w:t xml:space="preserve"> </w:t>
      </w:r>
      <w:r>
        <w:t xml:space="preserve">множествами,</w:t>
      </w:r>
      <w:r>
        <w:t xml:space="preserve"> </w:t>
      </w:r>
      <w:r>
        <w:t xml:space="preserve">различные</w:t>
      </w:r>
      <w:r>
        <w:t xml:space="preserve"> </w:t>
      </w:r>
      <w:r>
        <w:t xml:space="preserve">способы</w:t>
      </w:r>
      <w:r>
        <w:t xml:space="preserve"> </w:t>
      </w:r>
      <w:r>
        <w:t xml:space="preserve">построения</w:t>
      </w:r>
      <w:r>
        <w:t xml:space="preserve"> </w:t>
      </w:r>
      <w:r>
        <w:t xml:space="preserve">массивов</w:t>
      </w:r>
      <w:r>
        <w:t xml:space="preserve"> </w:t>
      </w:r>
      <w:r>
        <w:t xml:space="preserve">и</w:t>
      </w:r>
      <w:r>
        <w:t xml:space="preserve"> </w:t>
      </w:r>
      <w:r>
        <w:t xml:space="preserve">векторов,</w:t>
      </w:r>
      <w:r>
        <w:t xml:space="preserve"> </w:t>
      </w: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пакетом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</w:t>
      </w:r>
      <w:r>
        <w:t xml:space="preserve"> </w:t>
      </w:r>
      <w:r>
        <w:t xml:space="preserve">вычисление</w:t>
      </w:r>
      <w:r>
        <w:t xml:space="preserve"> </w:t>
      </w:r>
      <w:r>
        <w:t xml:space="preserve">сумм</w:t>
      </w:r>
      <w:r>
        <w:t xml:space="preserve"> </w:t>
      </w:r>
      <w:r>
        <w:t xml:space="preserve">рядов.</w:t>
      </w:r>
    </w:p>
    <w:p>
      <w:pPr>
        <w:pStyle w:val="Abstract"/>
      </w:pPr>
      <w:r>
        <w:t xml:space="preserve">Все</w:t>
      </w:r>
      <w:r>
        <w:t xml:space="preserve"> </w:t>
      </w:r>
      <w:r>
        <w:t xml:space="preserve">результаты</w:t>
      </w:r>
      <w:r>
        <w:t xml:space="preserve"> </w:t>
      </w:r>
      <w:r>
        <w:t xml:space="preserve">подтверждены</w:t>
      </w:r>
      <w:r>
        <w:t xml:space="preserve"> </w:t>
      </w:r>
      <w:r>
        <w:t xml:space="preserve">скриншотами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кода</w:t>
      </w:r>
      <w:r>
        <w:t xml:space="preserve"> </w:t>
      </w:r>
      <w:r>
        <w:t xml:space="preserve">в</w:t>
      </w:r>
      <w:r>
        <w:t xml:space="preserve"> </w:t>
      </w:r>
      <w:r>
        <w:t xml:space="preserve">Jupyter</w:t>
      </w:r>
      <w:r>
        <w:t xml:space="preserve"> </w:t>
      </w:r>
      <w:r>
        <w:t xml:space="preserve">Lab.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Структуры данных — кортежи, словари, множества и массивы — базовый инструментарий для представления и обработки данных в любой задаче статистического анализа. Понимание их особенностей в Julia (неизменяемость кортежей, неупорядоченность словарей и множеств, широкие возможности индексации и broadcasting для массивов) необходимо для дальнейшей работы с данными в курсе.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несколько структур данных, реализованных в Julia, научиться применять их и операции над ними для решения задач.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 из раздела 2.2 методических указаний (кортежи, словари, множества, массивы).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 (раздел 2.4): операции над множествами, построение массивов различными способами, работа с пакетом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 вычисление сумм рядов.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структуры данных языка Julia (кортежи, словари, множества, массивы). Предмет исследования — операции над этими структурами и функции, общие для всех структур данных (</w:t>
      </w:r>
      <w:r>
        <w:rPr>
          <w:rStyle w:val="VerbatimChar"/>
        </w:rPr>
        <w:t xml:space="preserve">isempty()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maximum()</w:t>
      </w:r>
      <w:r>
        <w:t xml:space="preserve">/</w:t>
      </w:r>
      <w:r>
        <w:rPr>
          <w:rStyle w:val="VerbatimChar"/>
        </w:rPr>
        <w:t xml:space="preserve">minimum()</w:t>
      </w:r>
      <w:r>
        <w:t xml:space="preserve">).</w:t>
      </w:r>
    </w:p>
    <w:bookmarkEnd w:id="23"/>
    <w:bookmarkStart w:id="24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интерактивной среде Jupyter Lab: последовательное выполнение примеров кода в ячейках блокнота с анализом полученных результатов.</w:t>
      </w:r>
    </w:p>
    <w:bookmarkEnd w:id="24"/>
    <w:bookmarkStart w:id="29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 -</w:t>
      </w:r>
      <w:hyperlink w:anchor="fig-flowchart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0668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2-report_files/figure-docx/mermaid-figure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28"/>
        </w:tc>
      </w:tr>
    </w:tbl>
    <w:bookmarkEnd w:id="29"/>
    <w:bookmarkEnd w:id="30"/>
    <w:bookmarkStart w:id="3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Кортеж</w:t>
      </w:r>
      <w:r>
        <w:t xml:space="preserve"> </w:t>
      </w:r>
      <w:r>
        <w:t xml:space="preserve">(</w:t>
      </w:r>
      <w:r>
        <w:rPr>
          <w:rStyle w:val="VerbatimChar"/>
        </w:rPr>
        <w:t xml:space="preserve">Tuple</w:t>
      </w:r>
      <w:r>
        <w:t xml:space="preserve">) — неизменяемая индексируемая последовательность элементов, индексация с единицы; поддерживает именованные поля (</w:t>
      </w:r>
      <w:r>
        <w:rPr>
          <w:rStyle w:val="VerbatimChar"/>
        </w:rPr>
        <w:t xml:space="preserve">NamedTuple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Словарь</w:t>
      </w:r>
      <w:r>
        <w:t xml:space="preserve"> </w:t>
      </w:r>
      <w:r>
        <w:t xml:space="preserve">(</w:t>
      </w:r>
      <w:r>
        <w:rPr>
          <w:rStyle w:val="VerbatimChar"/>
        </w:rPr>
        <w:t xml:space="preserve">Dict</w:t>
      </w:r>
      <w:r>
        <w:t xml:space="preserve">) — неупорядоченный набор пар «ключ — значение» с доступом по ключу.</w:t>
      </w:r>
    </w:p>
    <w:p>
      <w:pPr>
        <w:pStyle w:val="BodyText"/>
      </w:pPr>
      <w:r>
        <w:rPr>
          <w:b/>
          <w:bCs/>
        </w:rPr>
        <w:t xml:space="preserve">Множество</w:t>
      </w:r>
      <w:r>
        <w:t xml:space="preserve"> </w:t>
      </w:r>
      <w:r>
        <w:t xml:space="preserve">(</w:t>
      </w:r>
      <w:r>
        <w:rPr>
          <w:rStyle w:val="VerbatimChar"/>
        </w:rPr>
        <w:t xml:space="preserve">Set</w:t>
      </w:r>
      <w:r>
        <w:t xml:space="preserve">) — неупорядоченная совокупность уникальных элементов, поддерживающая теоретико-множественные операции (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issubset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Массив</w:t>
      </w:r>
      <w:r>
        <w:t xml:space="preserve"> </w:t>
      </w:r>
      <w:r>
        <w:t xml:space="preserve">— упорядоченная коллекция элементов на многомерной сетке; векторы и матрицы — частные случаи массива. Поддерживает генераторы (list comprehension), broadcasting (</w:t>
      </w:r>
      <w:r>
        <w:rPr>
          <w:rStyle w:val="VerbatimChar"/>
        </w:rPr>
        <w:t xml:space="preserve">.</w:t>
      </w:r>
      <w:r>
        <w:t xml:space="preserve">-операции) и гибкую индексацию срезами.</w:t>
      </w:r>
    </w:p>
    <w:p>
      <w:pPr>
        <w:pStyle w:val="BodyText"/>
      </w:pPr>
      <w:r>
        <w:t xml:space="preserve">Общие для всех структур функции: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maximum()</w:t>
      </w:r>
      <w:r>
        <w:t xml:space="preserve">/</w:t>
      </w:r>
      <w:r>
        <w:rPr>
          <w:rStyle w:val="VerbatimChar"/>
        </w:rPr>
        <w:t xml:space="preserve">minimum()</w:t>
      </w:r>
      <w:r>
        <w:t xml:space="preserve">.</w:t>
      </w:r>
    </w:p>
    <w:bookmarkEnd w:id="31"/>
    <w:bookmarkStart w:id="3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Окружение то же, что и в лабораторной работе №1: WSL2 Ubuntu, Julia 1.10.5, Jupyter Lab 4.6.3 с ядром IJulia. Работа выполнена в ветке</w:t>
      </w:r>
      <w:r>
        <w:t xml:space="preserve"> </w:t>
      </w:r>
      <w:r>
        <w:rPr>
          <w:rStyle w:val="VerbatimChar"/>
        </w:rPr>
        <w:t xml:space="preserve">feature/lab02</w:t>
      </w:r>
      <w:r>
        <w:t xml:space="preserve"> </w:t>
      </w:r>
      <w:r>
        <w:t xml:space="preserve">git-репозитория</w:t>
      </w:r>
      <w:r>
        <w:t xml:space="preserve"> </w:t>
      </w:r>
      <w:r>
        <w:rPr>
          <w:rStyle w:val="VerbatimChar"/>
        </w:rPr>
        <w:t xml:space="preserve">2026-2--study--computer-practice</w:t>
      </w:r>
      <w:r>
        <w:t xml:space="preserve">, блокнот</w:t>
      </w:r>
      <w:r>
        <w:t xml:space="preserve"> </w:t>
      </w:r>
      <w:r>
        <w:rPr>
          <w:rStyle w:val="VerbatimChar"/>
        </w:rPr>
        <w:t xml:space="preserve">data-structures.ipynb</w:t>
      </w:r>
      <w:r>
        <w:t xml:space="preserve"> </w:t>
      </w:r>
      <w:r>
        <w:t xml:space="preserve">создан в</w:t>
      </w:r>
      <w:r>
        <w:t xml:space="preserve"> </w:t>
      </w:r>
      <w:r>
        <w:rPr>
          <w:rStyle w:val="VerbatimChar"/>
        </w:rPr>
        <w:t xml:space="preserve">labs/lab02/project/</w:t>
      </w:r>
      <w:r>
        <w:t xml:space="preserve">.</w:t>
      </w:r>
    </w:p>
    <w:bookmarkEnd w:id="32"/>
    <w:bookmarkStart w:id="9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1" w:name="подготовка"/>
    <w:p>
      <w:pPr>
        <w:pStyle w:val="Heading2"/>
      </w:pPr>
      <w:r>
        <w:t xml:space="preserve">4.1 Подготовка</w:t>
      </w:r>
    </w:p>
    <w:p>
      <w:pPr>
        <w:pStyle w:val="FirstParagraph"/>
      </w:pPr>
      <w:r>
        <w:t xml:space="preserve">Создана ветка</w:t>
      </w:r>
      <w:r>
        <w:t xml:space="preserve"> </w:t>
      </w:r>
      <w:r>
        <w:rPr>
          <w:rStyle w:val="VerbatimChar"/>
        </w:rPr>
        <w:t xml:space="preserve">feature/lab02</w:t>
      </w:r>
      <w:r>
        <w:t xml:space="preserve"> </w:t>
      </w:r>
      <w:r>
        <w:t xml:space="preserve">(рис. -</w:t>
      </w:r>
      <w:hyperlink w:anchor="fig-001">
        <w:r>
          <w:rPr>
            <w:rStyle w:val="Hyperlink"/>
          </w:rPr>
          <w:t xml:space="preserve">Рисунок 2</w:t>
        </w:r>
      </w:hyperlink>
      <w:r>
        <w:t xml:space="preserve">) и рабочий каталог для блокнота, запущен Jupyter Lab (рис. -</w:t>
      </w:r>
      <w:hyperlink w:anchor="fig-002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9386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8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ветки feature/lab02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2"/>
          <w:p>
            <w:pPr>
              <w:pStyle w:val="Compact"/>
              <w:jc w:val="center"/>
            </w:pPr>
            <w:r>
              <w:drawing>
                <wp:inline>
                  <wp:extent cx="4800600" cy="142077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20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каталога проекта и запуск Jupyter Lab</w:t>
            </w:r>
          </w:p>
          <w:bookmarkEnd w:id="40"/>
        </w:tc>
      </w:tr>
    </w:tbl>
    <w:bookmarkEnd w:id="41"/>
    <w:bookmarkStart w:id="66" w:name="раздел-2.2.-структуры-данных"/>
    <w:p>
      <w:pPr>
        <w:pStyle w:val="Heading2"/>
      </w:pPr>
      <w:r>
        <w:t xml:space="preserve">4.2 Раздел 2.2. Структуры данных</w:t>
      </w:r>
    </w:p>
    <w:bookmarkStart w:id="50" w:name="кортежи"/>
    <w:p>
      <w:pPr>
        <w:pStyle w:val="Heading3"/>
      </w:pPr>
      <w:r>
        <w:t xml:space="preserve">4.2.1 Кортежи</w:t>
      </w:r>
    </w:p>
    <w:p>
      <w:pPr>
        <w:pStyle w:val="FirstParagraph"/>
      </w:pPr>
      <w:r>
        <w:t xml:space="preserve">Определены пустой кортеж, кортеж строк, кортеж чисел, кортеж со смешанными типами и именованный кортеж (рис. -</w:t>
      </w:r>
      <w:hyperlink w:anchor="fig-003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3"/>
          <w:p>
            <w:pPr>
              <w:pStyle w:val="Compact"/>
              <w:jc w:val="center"/>
            </w:pPr>
            <w:r>
              <w:drawing>
                <wp:inline>
                  <wp:extent cx="4129237" cy="144378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237" cy="144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Определение кортежей</w:t>
            </w:r>
          </w:p>
          <w:bookmarkEnd w:id="45"/>
        </w:tc>
      </w:tr>
    </w:tbl>
    <w:p>
      <w:pPr>
        <w:pStyle w:val="BodyText"/>
      </w:pPr>
      <w:r>
        <w:t xml:space="preserve">Продемонстрированы операции над кортежами: длина, индексация, обращение к полям именованного кортежа, проверка вхождения элемента через</w:t>
      </w:r>
      <w:r>
        <w:t xml:space="preserve"> </w:t>
      </w:r>
      <w:r>
        <w:rPr>
          <w:rStyle w:val="VerbatimChar"/>
        </w:rPr>
        <w:t xml:space="preserve">in()</w:t>
      </w:r>
      <w:r>
        <w:t xml:space="preserve"> </w:t>
      </w:r>
      <w:r>
        <w:t xml:space="preserve">(рис. -</w:t>
      </w:r>
      <w:hyperlink w:anchor="fig-004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4"/>
          <w:p>
            <w:pPr>
              <w:pStyle w:val="Compact"/>
              <w:jc w:val="center"/>
            </w:pPr>
            <w:r>
              <w:drawing>
                <wp:inline>
                  <wp:extent cx="4263991" cy="131866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3991" cy="1318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Операции над кортежами</w:t>
            </w:r>
          </w:p>
          <w:bookmarkEnd w:id="49"/>
        </w:tc>
      </w:tr>
    </w:tbl>
    <w:bookmarkEnd w:id="50"/>
    <w:bookmarkStart w:id="55" w:name="словари"/>
    <w:p>
      <w:pPr>
        <w:pStyle w:val="Heading3"/>
      </w:pPr>
      <w:r>
        <w:t xml:space="preserve">4.2.2 Словари</w:t>
      </w:r>
    </w:p>
    <w:p>
      <w:pPr>
        <w:pStyle w:val="FirstParagraph"/>
      </w:pPr>
      <w:r>
        <w:t xml:space="preserve">Создан словарь</w:t>
      </w:r>
      <w:r>
        <w:t xml:space="preserve"> </w:t>
      </w:r>
      <w:r>
        <w:rPr>
          <w:rStyle w:val="VerbatimChar"/>
        </w:rPr>
        <w:t xml:space="preserve">phonebook</w:t>
      </w:r>
      <w:r>
        <w:t xml:space="preserve">, показаны</w:t>
      </w:r>
      <w:r>
        <w:t xml:space="preserve"> </w:t>
      </w:r>
      <w:r>
        <w:rPr>
          <w:rStyle w:val="VerbatimChar"/>
        </w:rPr>
        <w:t xml:space="preserve">keys()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haskey()</w:t>
      </w:r>
      <w:r>
        <w:t xml:space="preserve">, добавление и удаление элемента (</w:t>
      </w:r>
      <w:r>
        <w:rPr>
          <w:rStyle w:val="VerbatimChar"/>
        </w:rPr>
        <w:t xml:space="preserve">pop!</w:t>
      </w:r>
      <w:r>
        <w:t xml:space="preserve">), объединение двух словарей функцией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— при совпадении ключей побеждает значение из второго аргумента (рис. -</w:t>
      </w:r>
      <w:hyperlink w:anchor="fig-005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5"/>
          <w:p>
            <w:pPr>
              <w:pStyle w:val="Compact"/>
              <w:jc w:val="center"/>
            </w:pPr>
            <w:r>
              <w:drawing>
                <wp:inline>
                  <wp:extent cx="4800600" cy="152770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27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Операции над словарями</w:t>
            </w:r>
          </w:p>
          <w:bookmarkEnd w:id="54"/>
        </w:tc>
      </w:tr>
    </w:tbl>
    <w:bookmarkEnd w:id="55"/>
    <w:bookmarkStart w:id="60" w:name="множества"/>
    <w:p>
      <w:pPr>
        <w:pStyle w:val="Heading3"/>
      </w:pPr>
      <w:r>
        <w:t xml:space="preserve">4.2.3 Множества</w:t>
      </w:r>
    </w:p>
    <w:p>
      <w:pPr>
        <w:pStyle w:val="FirstParagraph"/>
      </w:pPr>
      <w:r>
        <w:t xml:space="preserve">Продемонстрированы создание множеств, проверка эквивалентности (</w:t>
      </w:r>
      <w:r>
        <w:rPr>
          <w:rStyle w:val="VerbatimChar"/>
        </w:rPr>
        <w:t xml:space="preserve">issetequal</w:t>
      </w:r>
      <w:r>
        <w:t xml:space="preserve">), объединение, пересечение, разность множеств, проверка вложенности (</w:t>
      </w:r>
      <w:r>
        <w:rPr>
          <w:rStyle w:val="VerbatimChar"/>
        </w:rPr>
        <w:t xml:space="preserve">issubset</w:t>
      </w:r>
      <w:r>
        <w:t xml:space="preserve">), добавление и удаление элемента (рис. -</w:t>
      </w:r>
      <w:hyperlink w:anchor="fig-006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6"/>
          <w:p>
            <w:pPr>
              <w:pStyle w:val="Compact"/>
              <w:jc w:val="center"/>
            </w:pPr>
            <w:r>
              <w:drawing>
                <wp:inline>
                  <wp:extent cx="4800600" cy="194911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49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Операции над множествами</w:t>
            </w:r>
          </w:p>
          <w:bookmarkEnd w:id="59"/>
        </w:tc>
      </w:tr>
    </w:tbl>
    <w:bookmarkEnd w:id="60"/>
    <w:bookmarkStart w:id="65" w:name="массивы"/>
    <w:p>
      <w:pPr>
        <w:pStyle w:val="Heading3"/>
      </w:pPr>
      <w:r>
        <w:t xml:space="preserve">4.2.4 Массивы</w:t>
      </w:r>
    </w:p>
    <w:p>
      <w:pPr>
        <w:pStyle w:val="FirstParagraph"/>
      </w:pPr>
      <w:r>
        <w:t xml:space="preserve">Показаны создание пустых и типизированных массивов, векторов-строк и векторов-столбцов, многомерных массивов, массивов через генераторы (list comprehension), функции</w:t>
      </w:r>
      <w:r>
        <w:t xml:space="preserve"> </w:t>
      </w:r>
      <w:r>
        <w:rPr>
          <w:rStyle w:val="VerbatimChar"/>
        </w:rPr>
        <w:t xml:space="preserve">ones()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reshape()</w:t>
      </w:r>
      <w:r>
        <w:t xml:space="preserve">, транспонирование, а также срезы и логическая индексация (</w:t>
      </w:r>
      <w:r>
        <w:rPr>
          <w:rStyle w:val="VerbatimChar"/>
        </w:rPr>
        <w:t xml:space="preserve">ar .&gt; 14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) (рис. -</w:t>
      </w:r>
      <w:hyperlink w:anchor="fig-007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7"/>
          <w:p>
            <w:pPr>
              <w:pStyle w:val="Compact"/>
              <w:jc w:val="center"/>
            </w:pPr>
            <w:r>
              <w:drawing>
                <wp:inline>
                  <wp:extent cx="4800600" cy="514912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149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Операции над массивами</w:t>
            </w:r>
          </w:p>
          <w:bookmarkEnd w:id="64"/>
        </w:tc>
      </w:tr>
    </w:tbl>
    <w:bookmarkEnd w:id="65"/>
    <w:bookmarkEnd w:id="66"/>
    <w:bookmarkStart w:id="97" w:name="X75e47306087d274b9c6736d663e1006d6677607"/>
    <w:p>
      <w:pPr>
        <w:pStyle w:val="Heading2"/>
      </w:pPr>
      <w:r>
        <w:t xml:space="preserve">4.3 Задания для самостоятельной работы (раздел 2.4)</w:t>
      </w:r>
    </w:p>
    <w:bookmarkStart w:id="67" w:name="задание-1"/>
    <w:p>
      <w:pPr>
        <w:pStyle w:val="Heading3"/>
      </w:pPr>
      <w:r>
        <w:t xml:space="preserve">4.3.1 Задание 1</w:t>
      </w:r>
    </w:p>
    <w:p>
      <w:pPr>
        <w:pStyle w:val="FirstParagraph"/>
      </w:pPr>
      <w:r>
        <w:t xml:space="preserve">В формулировке задания выражение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t xml:space="preserve"> </w:t>
      </w:r>
      <w:r>
        <w:t xml:space="preserve">содержит повторяющееся слагаемое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; исходя из структуры формулы (типичная форма разложения через дополнение) второе слагаемое интерпретировано как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bar>
          <m:barPr>
            <m:pos m:val="top"/>
          </m:barPr>
          <m:e>
            <m:r>
              <m:t>B</m:t>
            </m:r>
          </m:e>
        </m:bar>
      </m:oMath>
      <w:r>
        <w:t xml:space="preserve">, где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</m:e>
        </m:bar>
      </m:oMath>
      <w:r>
        <w:t xml:space="preserve"> </w:t>
      </w:r>
      <w:r>
        <w:t xml:space="preserve">— дополнение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до объединения всех трёх множеств. Результат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, верхняя часть).</w:t>
      </w:r>
    </w:p>
    <w:bookmarkEnd w:id="67"/>
    <w:bookmarkStart w:id="72" w:name="задание-2"/>
    <w:p>
      <w:pPr>
        <w:pStyle w:val="Heading3"/>
      </w:pPr>
      <w:r>
        <w:t xml:space="preserve">4.3.2 Задание 2</w:t>
      </w:r>
    </w:p>
    <w:p>
      <w:pPr>
        <w:pStyle w:val="FirstParagraph"/>
      </w:pPr>
      <w:r>
        <w:t xml:space="preserve">Приведены собственные примеры операций над множествами со смешанными типами элементов (числа, строки, символы) —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setdiff</w:t>
      </w:r>
      <w:r>
        <w:t xml:space="preserve"> </w:t>
      </w:r>
      <w:r>
        <w:t xml:space="preserve">для множеств типа</w:t>
      </w:r>
      <w:r>
        <w:t xml:space="preserve"> </w:t>
      </w:r>
      <w:r>
        <w:rPr>
          <w:rStyle w:val="VerbatimChar"/>
        </w:rPr>
        <w:t xml:space="preserve">Set{Any}</w:t>
      </w:r>
      <w:r>
        <w:t xml:space="preserve"> </w:t>
      </w:r>
      <w:r>
        <w:t xml:space="preserve">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, нижняя часть).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8"/>
          <w:p>
            <w:pPr>
              <w:pStyle w:val="Compact"/>
              <w:jc w:val="center"/>
            </w:pPr>
            <w:r>
              <w:drawing>
                <wp:inline>
                  <wp:extent cx="4800600" cy="286403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64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1 (множества A, B, C) и задание 2 (множества смешанных типов)</w:t>
            </w:r>
          </w:p>
          <w:bookmarkEnd w:id="71"/>
        </w:tc>
      </w:tr>
    </w:tbl>
    <w:bookmarkEnd w:id="72"/>
    <w:bookmarkStart w:id="81" w:name="задание-3"/>
    <w:p>
      <w:pPr>
        <w:pStyle w:val="Heading3"/>
      </w:pPr>
      <w:r>
        <w:t xml:space="preserve">4.3.3 Задание 3</w:t>
      </w:r>
    </w:p>
    <w:p>
      <w:pPr>
        <w:pStyle w:val="FirstParagraph"/>
      </w:pPr>
      <w:r>
        <w:t xml:space="preserve">Выполнены все 14 пунктов задания: построение возрастающего, убывающего и «пирамидального» массивов (3.1–3.3), массивы на основе повторения элементов вектора</w:t>
      </w:r>
      <w:r>
        <w:t xml:space="preserve"> </w:t>
      </w:r>
      <w:r>
        <w:rPr>
          <w:rStyle w:val="VerbatimChar"/>
        </w:rPr>
        <w:t xml:space="preserve">tmp</w:t>
      </w:r>
      <w:r>
        <w:t xml:space="preserve"> </w:t>
      </w:r>
      <w:r>
        <w:t xml:space="preserve">разными способами (3.4–3.8), массив степеней двойки с подсчётом вхождений цифры (3.9), вектор значений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 его среднее (3.10), вектор пар индексов (3.11), вектор с элементами</w:t>
      </w:r>
      <w:r>
        <w:t xml:space="preserve"> </w:t>
      </w:r>
      <m:oMath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/</m:t>
        </m:r>
        <m:r>
          <m:t>i</m:t>
        </m:r>
      </m:oMath>
      <w:r>
        <w:t xml:space="preserve"> </w:t>
      </w:r>
      <w:r>
        <w:t xml:space="preserve">(3.12), вектор строковых меток (3.13) и обширный набор операций над случайными векторами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длины 250: разности, линейные комбинации, поэлементные тригонометрические выражения, сумма ряда, фильтрация по условию, статистика по чётности/кратности, сортировка одного вектора по перестановке другого, топ-10 значений и уникальные элементы (3.14) (рис. -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, -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9"/>
          <w:p>
            <w:pPr>
              <w:pStyle w:val="Compact"/>
              <w:jc w:val="center"/>
            </w:pPr>
            <w:r>
              <w:drawing>
                <wp:inline>
                  <wp:extent cx="4800600" cy="581965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81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3, пункты 3.1–3.14 (код)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0"/>
          <w:p>
            <w:pPr>
              <w:pStyle w:val="Compact"/>
              <w:jc w:val="center"/>
            </w:pPr>
            <w:r>
              <w:drawing>
                <wp:inline>
                  <wp:extent cx="4800600" cy="576941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769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3, пункты 3.1–3.14 (продолжение и результат)</w:t>
            </w:r>
          </w:p>
          <w:bookmarkEnd w:id="80"/>
        </w:tc>
      </w:tr>
    </w:tbl>
    <w:p>
      <w:pPr>
        <w:pStyle w:val="BodyText"/>
      </w:pPr>
      <w:r>
        <w:t xml:space="preserve">При выполнении пункта 3.9 возникла синтаксическая ошибка в выражении</w:t>
      </w:r>
      <w:r>
        <w:t xml:space="preserve"> </w:t>
      </w:r>
      <w:r>
        <w:rPr>
          <w:rStyle w:val="VerbatimChar"/>
        </w:rPr>
        <w:t xml:space="preserve">count(=='6', ...)</w:t>
      </w:r>
      <w:r>
        <w:t xml:space="preserve"> </w:t>
      </w:r>
      <w:r>
        <w:t xml:space="preserve">— оператор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нельзя использовать в такой позиции как унарный. Ошибка исправлена заменой на анонимную функцию</w:t>
      </w:r>
      <w:r>
        <w:t xml:space="preserve"> </w:t>
      </w:r>
      <w:r>
        <w:rPr>
          <w:rStyle w:val="VerbatimChar"/>
        </w:rPr>
        <w:t xml:space="preserve">count(c -&gt; c == '6', string(x))</w:t>
      </w:r>
      <w:r>
        <w:t xml:space="preserve">.</w:t>
      </w:r>
    </w:p>
    <w:bookmarkEnd w:id="81"/>
    <w:bookmarkStart w:id="86" w:name="задание-4"/>
    <w:p>
      <w:pPr>
        <w:pStyle w:val="Heading3"/>
      </w:pPr>
      <w:r>
        <w:t xml:space="preserve">4.3.4 Задание 4</w:t>
      </w:r>
    </w:p>
    <w:p>
      <w:pPr>
        <w:pStyle w:val="FirstParagraph"/>
      </w:pPr>
      <w:r>
        <w:t xml:space="preserve">Построен массив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 </w:t>
      </w:r>
      <w:r>
        <w:t xml:space="preserve">квадратов чисел от 1 до 100, последний элемент равен 10000 (рис. -</w:t>
      </w:r>
      <w:hyperlink w:anchor="fig-011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1"/>
          <w:p>
            <w:pPr>
              <w:pStyle w:val="Compact"/>
              <w:jc w:val="center"/>
            </w:pPr>
            <w:r>
              <w:drawing>
                <wp:inline>
                  <wp:extent cx="3253338" cy="89514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338" cy="895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4: массив квадратов чисел</w:t>
            </w:r>
          </w:p>
          <w:bookmarkEnd w:id="85"/>
        </w:tc>
      </w:tr>
    </w:tbl>
    <w:bookmarkEnd w:id="86"/>
    <w:bookmarkStart w:id="91" w:name="задание-5"/>
    <w:p>
      <w:pPr>
        <w:pStyle w:val="Heading3"/>
      </w:pPr>
      <w:r>
        <w:t xml:space="preserve">4.3.5 Задание 5</w:t>
      </w:r>
    </w:p>
    <w:p>
      <w:pPr>
        <w:pStyle w:val="FirstParagraph"/>
      </w:pPr>
      <w:r>
        <w:t xml:space="preserve">Подключён пакет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 сгенерирован массив первых 168 простых чисел, 89-е наименьшее простое число равно 461, срез с 89-го по 99-й элемент —</w:t>
      </w:r>
      <w:r>
        <w:t xml:space="preserve"> </w:t>
      </w:r>
      <w:r>
        <w:rPr>
          <w:rStyle w:val="VerbatimChar"/>
        </w:rPr>
        <w:t xml:space="preserve">[461, 463, 467, 479, 487, 491, 499, 503, 509, 521, 523]</w:t>
      </w:r>
      <w:r>
        <w:t xml:space="preserve"> </w:t>
      </w:r>
      <w:r>
        <w:t xml:space="preserve">(рис. -</w:t>
      </w:r>
      <w:hyperlink w:anchor="fig-012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2"/>
          <w:p>
            <w:pPr>
              <w:pStyle w:val="Compact"/>
              <w:jc w:val="center"/>
            </w:pPr>
            <w:r>
              <w:drawing>
                <wp:inline>
                  <wp:extent cx="4800600" cy="443178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31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5: пакет Primes</w:t>
            </w:r>
          </w:p>
          <w:bookmarkEnd w:id="90"/>
        </w:tc>
      </w:tr>
    </w:tbl>
    <w:bookmarkEnd w:id="91"/>
    <w:bookmarkStart w:id="96" w:name="задание-6"/>
    <w:p>
      <w:pPr>
        <w:pStyle w:val="Heading3"/>
      </w:pPr>
      <w:r>
        <w:t xml:space="preserve">4.3.6 Задание 6</w:t>
      </w:r>
    </w:p>
    <w:p>
      <w:pPr>
        <w:pStyle w:val="FirstParagraph"/>
      </w:pPr>
      <w:r>
        <w:t xml:space="preserve">Вычислены суммы: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10</m:t>
            </m:r>
          </m:sub>
          <m:sup>
            <m:r>
              <m:t>100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i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26852735</m:t>
        </m:r>
      </m:oMath>
      <w:r>
        <w:t xml:space="preserve">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25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i</m:t>
                        </m:r>
                      </m:sup>
                    </m:sSup>
                  </m:num>
                  <m:den>
                    <m:r>
                      <m:t>i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3</m:t>
                        </m:r>
                      </m:e>
                      <m:sup>
                        <m:r>
                          <m:t>i</m:t>
                        </m:r>
                      </m:sup>
                    </m:sSup>
                  </m:num>
                  <m:den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m:rPr>
            <m:sty m:val="p"/>
          </m:rPr>
          <m:t>≈</m:t>
        </m:r>
        <m:r>
          <m:t>2.129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; сумма ряда с накопленными частичными суммами</w:t>
      </w:r>
      <w:r>
        <w:t xml:space="preserve"> </w:t>
      </w:r>
      <m:oMath>
        <m:r>
          <m:rPr>
            <m:sty m:val="p"/>
          </m:rPr>
          <m:t>≈</m:t>
        </m:r>
        <m:r>
          <m:t>170.167</m:t>
        </m:r>
      </m:oMath>
      <w:r>
        <w:t xml:space="preserve"> </w:t>
      </w:r>
      <w:r>
        <w:t xml:space="preserve">(рис. -</w:t>
      </w:r>
      <w:hyperlink w:anchor="fig-013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3"/>
          <w:p>
            <w:pPr>
              <w:pStyle w:val="Compact"/>
              <w:jc w:val="center"/>
            </w:pPr>
            <w:r>
              <w:drawing>
                <wp:inline>
                  <wp:extent cx="4800600" cy="194066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40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6: вычисление сумм</w:t>
            </w:r>
          </w:p>
          <w:bookmarkEnd w:id="95"/>
        </w:tc>
      </w:tr>
    </w:tbl>
    <w:bookmarkEnd w:id="96"/>
    <w:bookmarkEnd w:id="97"/>
    <w:bookmarkEnd w:id="98"/>
    <w:bookmarkStart w:id="99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2"/>
        </w:numPr>
      </w:pPr>
      <w:r>
        <w:t xml:space="preserve">Все примеры раздела 2.2 (кортежи, словари, множества, массивы) воспроизведены, результаты совпадают с методическими указаниями.</w:t>
      </w:r>
    </w:p>
    <w:p>
      <w:pPr>
        <w:pStyle w:val="Compact"/>
        <w:numPr>
          <w:ilvl w:val="0"/>
          <w:numId w:val="1002"/>
        </w:numPr>
      </w:pPr>
      <w:r>
        <w:t xml:space="preserve">Задание 1 выполнено с учётом уточнения неоднозначной формулы (дополнение множества</w:t>
      </w:r>
      <w:r>
        <w:t xml:space="preserve"> </w:t>
      </w:r>
      <m:oMath>
        <m:r>
          <m:t>B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Задание 2 выполнено на собственных примерах множеств смешанных типов.</w:t>
      </w:r>
    </w:p>
    <w:p>
      <w:pPr>
        <w:pStyle w:val="Compact"/>
        <w:numPr>
          <w:ilvl w:val="0"/>
          <w:numId w:val="1002"/>
        </w:numPr>
      </w:pPr>
      <w:r>
        <w:t xml:space="preserve">Задание 3 выполнено полностью (все 14 пунктов), включая операции над случайными векторами длины 250.</w:t>
      </w:r>
    </w:p>
    <w:p>
      <w:pPr>
        <w:pStyle w:val="Compact"/>
        <w:numPr>
          <w:ilvl w:val="0"/>
          <w:numId w:val="1002"/>
        </w:numPr>
      </w:pPr>
      <w:r>
        <w:t xml:space="preserve">Задание 4 и 5 выполнены, значения простых чисел подтверждены (89-е простое число — 461).</w:t>
      </w:r>
    </w:p>
    <w:p>
      <w:pPr>
        <w:pStyle w:val="Compact"/>
        <w:numPr>
          <w:ilvl w:val="0"/>
          <w:numId w:val="1002"/>
        </w:numPr>
      </w:pPr>
      <w:r>
        <w:t xml:space="preserve">Задание 6 выполнено, все три суммы вычислены.</w:t>
      </w:r>
    </w:p>
    <w:bookmarkEnd w:id="99"/>
    <w:bookmarkStart w:id="10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Работа с множествами и массивами в Julia подтвердила теоретические ожидания: операции над множествами (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</w:t>
      </w:r>
      <w:r>
        <w:t xml:space="preserve">,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8" Target="media/rId68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Умед Джамшедович Назармамадов</dc:creator>
  <dc:language>ru-RU</dc:language>
  <cp:keywords>Julia, кортежи, словари, множества, массивы, лабораторная работа</cp:keywords>
  <dcterms:created xsi:type="dcterms:W3CDTF">2026-09-26T18:05:17Z</dcterms:created>
  <dcterms:modified xsi:type="dcterms:W3CDTF">2026-09-26T18:05:17Z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рассмотрены основные структуры данных языка Julia: кортежи, словари, множества и массивы, а также общие функции для работы с ними (isempty, length, in, unique, reduce, maximum/minimum).Воспроизведены примеры из методических указаний и выполнены задания для самостоятельной работы: операции над множествами, различные способы построения массивов и векторов, работа с пакетом Primes, вычисление сумм рядов.Все результаты подтверждены скриншотами выполнения кода в Jupyter Lab.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Структуры данных</vt:lpwstr>
  </property>
  <property fmtid="{D5CDD505-2E9C-101B-9397-08002B2CF9AE}" pid="17" name="toc-title">
    <vt:lpwstr>Содержание</vt:lpwstr>
  </property>
</Properties>
</file>