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82.png" ContentType="image/png"/>
  <Override PartName="/word/media/rId89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7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Управляющие</w:t>
      </w:r>
      <w:r>
        <w:t xml:space="preserve"> </w:t>
      </w:r>
      <w:r>
        <w:t xml:space="preserve">структуры</w:t>
      </w:r>
    </w:p>
    <w:p>
      <w:pPr>
        <w:pStyle w:val="Author"/>
      </w:pPr>
      <w:r>
        <w:t xml:space="preserve">Умед</w:t>
      </w:r>
      <w:r>
        <w:t xml:space="preserve"> </w:t>
      </w:r>
      <w:r>
        <w:t xml:space="preserve">Джамшедович</w:t>
      </w:r>
      <w:r>
        <w:t xml:space="preserve"> </w:t>
      </w:r>
      <w:r>
        <w:t xml:space="preserve">Назармамадов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</w:t>
      </w:r>
      <w:r>
        <w:t xml:space="preserve"> </w:t>
      </w:r>
      <w:r>
        <w:t xml:space="preserve">отчёте</w:t>
      </w:r>
      <w:r>
        <w:t xml:space="preserve"> </w:t>
      </w:r>
      <w:r>
        <w:t xml:space="preserve">рассмотрены</w:t>
      </w:r>
      <w:r>
        <w:t xml:space="preserve"> </w:t>
      </w:r>
      <w:r>
        <w:t xml:space="preserve">управляющие</w:t>
      </w:r>
      <w:r>
        <w:t xml:space="preserve"> </w:t>
      </w:r>
      <w:r>
        <w:t xml:space="preserve">структуры</w:t>
      </w:r>
      <w:r>
        <w:t xml:space="preserve"> </w:t>
      </w:r>
      <w:r>
        <w:t xml:space="preserve">языка</w:t>
      </w:r>
      <w:r>
        <w:t xml:space="preserve"> </w:t>
      </w:r>
      <w:r>
        <w:t xml:space="preserve">Julia:</w:t>
      </w:r>
      <w:r>
        <w:t xml:space="preserve"> </w:t>
      </w:r>
      <w:r>
        <w:t xml:space="preserve">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t xml:space="preserve">условные</w:t>
      </w:r>
      <w:r>
        <w:t xml:space="preserve"> </w:t>
      </w:r>
      <w:r>
        <w:t xml:space="preserve">выражения</w:t>
      </w:r>
      <w:r>
        <w:t xml:space="preserve"> </w:t>
      </w:r>
      <w:r>
        <w:t xml:space="preserve">(включая</w:t>
      </w:r>
      <w:r>
        <w:t xml:space="preserve"> </w:t>
      </w:r>
      <w:r>
        <w:t xml:space="preserve">тернарный</w:t>
      </w:r>
      <w:r>
        <w:t xml:space="preserve"> </w:t>
      </w:r>
      <w:r>
        <w:t xml:space="preserve">оператор),</w:t>
      </w:r>
      <w:r>
        <w:t xml:space="preserve"> </w:t>
      </w:r>
      <w:r>
        <w:t xml:space="preserve">способы</w:t>
      </w:r>
      <w:r>
        <w:t xml:space="preserve"> </w:t>
      </w:r>
      <w:r>
        <w:t xml:space="preserve">определения</w:t>
      </w:r>
      <w:r>
        <w:t xml:space="preserve"> </w:t>
      </w:r>
      <w:r>
        <w:t xml:space="preserve">функций</w:t>
      </w:r>
      <w:r>
        <w:t xml:space="preserve"> </w:t>
      </w:r>
      <w:r>
        <w:t xml:space="preserve">(полная,</w:t>
      </w:r>
      <w:r>
        <w:t xml:space="preserve"> </w:t>
      </w:r>
      <w:r>
        <w:t xml:space="preserve">краткая,</w:t>
      </w:r>
      <w:r>
        <w:t xml:space="preserve"> </w:t>
      </w:r>
      <w:r>
        <w:t xml:space="preserve">анонимная</w:t>
      </w:r>
      <w:r>
        <w:t xml:space="preserve"> </w:t>
      </w:r>
      <w:r>
        <w:t xml:space="preserve">формы),</w:t>
      </w:r>
      <w:r>
        <w:t xml:space="preserve"> </w:t>
      </w:r>
      <w:r>
        <w:t xml:space="preserve">функции</w:t>
      </w:r>
      <w:r>
        <w:t xml:space="preserve"> </w:t>
      </w:r>
      <w:r>
        <w:t xml:space="preserve">высшего</w:t>
      </w:r>
      <w:r>
        <w:t xml:space="preserve"> </w:t>
      </w:r>
      <w:r>
        <w:t xml:space="preserve">порядка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broadcast()</w:t>
      </w:r>
      <w:r>
        <w:t xml:space="preserve">,</w:t>
      </w:r>
      <w:r>
        <w:t xml:space="preserve"> </w:t>
      </w:r>
      <w:r>
        <w:t xml:space="preserve">а</w:t>
      </w:r>
      <w:r>
        <w:t xml:space="preserve"> </w:t>
      </w:r>
      <w:r>
        <w:t xml:space="preserve">также</w:t>
      </w:r>
      <w:r>
        <w:t xml:space="preserve"> </w:t>
      </w:r>
      <w:r>
        <w:t xml:space="preserve">подключение</w:t>
      </w:r>
      <w:r>
        <w:t xml:space="preserve"> </w:t>
      </w:r>
      <w:r>
        <w:t xml:space="preserve">сторонних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на</w:t>
      </w:r>
      <w:r>
        <w:t xml:space="preserve"> </w:t>
      </w:r>
      <w:r>
        <w:t xml:space="preserve">примере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.</w:t>
      </w:r>
    </w:p>
    <w:p>
      <w:pPr>
        <w:pStyle w:val="Abstract"/>
      </w:pPr>
      <w:r>
        <w:t xml:space="preserve">Воспроизведены</w:t>
      </w:r>
      <w:r>
        <w:t xml:space="preserve"> </w:t>
      </w:r>
      <w:r>
        <w:t xml:space="preserve">примеры</w:t>
      </w:r>
      <w:r>
        <w:t xml:space="preserve"> </w:t>
      </w:r>
      <w:r>
        <w:t xml:space="preserve">из</w:t>
      </w:r>
      <w:r>
        <w:t xml:space="preserve"> </w:t>
      </w:r>
      <w:r>
        <w:t xml:space="preserve">раздела</w:t>
      </w:r>
      <w:r>
        <w:t xml:space="preserve"> </w:t>
      </w:r>
      <w:r>
        <w:t xml:space="preserve">3.2</w:t>
      </w:r>
      <w:r>
        <w:t xml:space="preserve"> </w:t>
      </w:r>
      <w:r>
        <w:t xml:space="preserve">методических</w:t>
      </w:r>
      <w:r>
        <w:t xml:space="preserve"> </w:t>
      </w:r>
      <w:r>
        <w:t xml:space="preserve">указаний</w:t>
      </w:r>
      <w:r>
        <w:t xml:space="preserve"> </w:t>
      </w:r>
      <w:r>
        <w:t xml:space="preserve">и</w:t>
      </w:r>
      <w:r>
        <w:t xml:space="preserve"> </w:t>
      </w:r>
      <w:r>
        <w:t xml:space="preserve">выполнены</w:t>
      </w:r>
      <w:r>
        <w:t xml:space="preserve"> </w:t>
      </w:r>
      <w:r>
        <w:t xml:space="preserve">11</w:t>
      </w:r>
      <w:r>
        <w:t xml:space="preserve"> </w:t>
      </w:r>
      <w:r>
        <w:t xml:space="preserve">заданий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работы:</w:t>
      </w:r>
      <w:r>
        <w:t xml:space="preserve"> </w:t>
      </w:r>
      <w:r>
        <w:t xml:space="preserve">от</w:t>
      </w:r>
      <w:r>
        <w:t xml:space="preserve"> </w:t>
      </w:r>
      <w:r>
        <w:t xml:space="preserve">базовых</w:t>
      </w:r>
      <w:r>
        <w:t xml:space="preserve"> </w:t>
      </w:r>
      <w:r>
        <w:t xml:space="preserve">циклов</w:t>
      </w:r>
      <w:r>
        <w:t xml:space="preserve"> </w:t>
      </w:r>
      <w:r>
        <w:t xml:space="preserve">и</w:t>
      </w:r>
      <w:r>
        <w:t xml:space="preserve"> </w:t>
      </w:r>
      <w:r>
        <w:t xml:space="preserve">тернарных</w:t>
      </w:r>
      <w:r>
        <w:t xml:space="preserve"> </w:t>
      </w:r>
      <w:r>
        <w:t xml:space="preserve">операторов</w:t>
      </w:r>
      <w:r>
        <w:t xml:space="preserve"> </w:t>
      </w:r>
      <w:r>
        <w:t xml:space="preserve">до</w:t>
      </w:r>
      <w:r>
        <w:t xml:space="preserve"> </w:t>
      </w:r>
      <w:r>
        <w:t xml:space="preserve">решения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линейных</w:t>
      </w:r>
      <w:r>
        <w:t xml:space="preserve"> </w:t>
      </w:r>
      <w:r>
        <w:t xml:space="preserve">уравнений</w:t>
      </w:r>
      <w:r>
        <w:t xml:space="preserve"> </w:t>
      </w:r>
      <w:r>
        <w:t xml:space="preserve">специального</w:t>
      </w:r>
      <w:r>
        <w:t xml:space="preserve"> </w:t>
      </w:r>
      <w:r>
        <w:t xml:space="preserve">вида</w:t>
      </w:r>
      <w:r>
        <w:t xml:space="preserve"> </w:t>
      </w:r>
      <w:r>
        <w:t xml:space="preserve">и</w:t>
      </w:r>
      <w:r>
        <w:t xml:space="preserve"> </w:t>
      </w:r>
      <w:r>
        <w:t xml:space="preserve">собственной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функции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.</w:t>
      </w:r>
    </w:p>
    <w:p>
      <w:pPr>
        <w:pStyle w:val="Abstract"/>
      </w:pPr>
      <w:r>
        <w:t xml:space="preserve">Все</w:t>
      </w:r>
      <w:r>
        <w:t xml:space="preserve"> </w:t>
      </w:r>
      <w:r>
        <w:t xml:space="preserve">результаты</w:t>
      </w:r>
      <w:r>
        <w:t xml:space="preserve"> </w:t>
      </w:r>
      <w:r>
        <w:t xml:space="preserve">подтверждены</w:t>
      </w:r>
      <w:r>
        <w:t xml:space="preserve"> </w:t>
      </w:r>
      <w:r>
        <w:t xml:space="preserve">скриншотами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кода</w:t>
      </w:r>
      <w:r>
        <w:t xml:space="preserve"> </w:t>
      </w:r>
      <w:r>
        <w:t xml:space="preserve">в</w:t>
      </w:r>
      <w:r>
        <w:t xml:space="preserve"> </w:t>
      </w:r>
      <w:r>
        <w:t xml:space="preserve">Jupyter</w:t>
      </w:r>
      <w:r>
        <w:t xml:space="preserve"> </w:t>
      </w:r>
      <w:r>
        <w:t xml:space="preserve">Lab.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Управляющие структуры — циклы, условные выражения и функции — основа любой программы обработки данных. В Julia они дополнены удобными инструментами: тернарным оператором, несколькими формами определения функций и функциями высшего порядка (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), которые в сочетании с точечным синтаксисом заметно сокращают код при работе с матрицами.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Освоить применение циклов, функций и сторонних для Julia пакетов для решения задач линейной алгебры и работы с матрицами.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 из раздела 3.2 методических указаний (циклы, условные выражения, функции, сторонние пакеты).</w:t>
      </w:r>
    </w:p>
    <w:p>
      <w:pPr>
        <w:pStyle w:val="Compact"/>
        <w:numPr>
          <w:ilvl w:val="0"/>
          <w:numId w:val="1001"/>
        </w:numPr>
      </w:pPr>
      <w:r>
        <w:t xml:space="preserve">Выполнить 11 заданий для самостоятельной работы (раздел 3.4), включая построение матриц со специальной структурой, собственную реализацию функции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 </w:t>
      </w:r>
      <w:r>
        <w:t xml:space="preserve">и решение системы линейных уравнений.</w:t>
      </w:r>
    </w:p>
    <w:bookmarkEnd w:id="22"/>
    <w:bookmarkStart w:id="23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исследования — управляющие структуры языка Julia. Предмет исследования —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, условные конструкции, различные формы функций, функции высшего порядка и их применение к задачам линейной алгебры.</w:t>
      </w:r>
    </w:p>
    <w:bookmarkEnd w:id="23"/>
    <w:bookmarkStart w:id="24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интерактивной среде Jupyter Lab: последовательное выполнение примеров и заданий в ячейках блокнота с анализом полученных результатов.</w:t>
      </w:r>
    </w:p>
    <w:bookmarkEnd w:id="24"/>
    <w:bookmarkStart w:id="29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 -</w:t>
      </w:r>
      <w:hyperlink w:anchor="fig-flowchart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0668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omputer-practice-lab03-report_files/figure-docx/mermaid-figure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28"/>
        </w:tc>
      </w:tr>
    </w:tbl>
    <w:bookmarkEnd w:id="29"/>
    <w:bookmarkEnd w:id="30"/>
    <w:bookmarkStart w:id="3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 Julia синтаксически похожи на аналоги в других языках, но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поддерживает компактную запись вложенных циклов (</w:t>
      </w:r>
      <w:r>
        <w:rPr>
          <w:rStyle w:val="VerbatimChar"/>
        </w:rPr>
        <w:t xml:space="preserve">for i in 1:m, j in 1:n</w:t>
      </w:r>
      <w:r>
        <w:t xml:space="preserve">) и генераторы массивов (list comprehension).</w:t>
      </w:r>
    </w:p>
    <w:p>
      <w:pPr>
        <w:pStyle w:val="BodyText"/>
      </w:pPr>
      <w:r>
        <w:t xml:space="preserve">Условные выражения записываются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/</w:t>
      </w:r>
      <w:r>
        <w:rPr>
          <w:rStyle w:val="VerbatimChar"/>
        </w:rPr>
        <w:t xml:space="preserve">end</w:t>
      </w:r>
      <w:r>
        <w:t xml:space="preserve"> </w:t>
      </w:r>
      <w:r>
        <w:t xml:space="preserve">либо через тернарный оператор</w:t>
      </w:r>
      <w:r>
        <w:t xml:space="preserve"> </w:t>
      </w:r>
      <w:r>
        <w:rPr>
          <w:rStyle w:val="VerbatimChar"/>
        </w:rPr>
        <w:t xml:space="preserve">a ? b : c</w:t>
      </w:r>
      <w:r>
        <w:t xml:space="preserve">, эквивалентный полной форме</w:t>
      </w:r>
      <w:r>
        <w:t xml:space="preserve"> </w:t>
      </w:r>
      <w:r>
        <w:rPr>
          <w:rStyle w:val="VerbatimChar"/>
        </w:rPr>
        <w:t xml:space="preserve">if a; b; else c; end</w:t>
      </w:r>
      <w:r>
        <w:t xml:space="preserve">.</w:t>
      </w:r>
    </w:p>
    <w:p>
      <w:pPr>
        <w:pStyle w:val="BodyText"/>
      </w:pPr>
      <w:r>
        <w:t xml:space="preserve">Функции можно определять тремя способами: полной формой (</w:t>
      </w:r>
      <w:r>
        <w:rPr>
          <w:rStyle w:val="VerbatimChar"/>
        </w:rPr>
        <w:t xml:space="preserve">function...end</w:t>
      </w:r>
      <w:r>
        <w:t xml:space="preserve">), краткой однострочной (</w:t>
      </w:r>
      <w:r>
        <w:rPr>
          <w:rStyle w:val="VerbatimChar"/>
        </w:rPr>
        <w:t xml:space="preserve">f(x) = ...</w:t>
      </w:r>
      <w:r>
        <w:t xml:space="preserve">) и как анонимные функции (</w:t>
      </w:r>
      <w:r>
        <w:rPr>
          <w:rStyle w:val="VerbatimChar"/>
        </w:rPr>
        <w:t xml:space="preserve">x -&gt; ...</w:t>
      </w:r>
      <w:r>
        <w:t xml:space="preserve">). По соглашению имена функций с восклицательным знаком (</w:t>
      </w:r>
      <w:r>
        <w:rPr>
          <w:rStyle w:val="VerbatimChar"/>
        </w:rPr>
        <w:t xml:space="preserve">sort!</w:t>
      </w:r>
      <w:r>
        <w:t xml:space="preserve">) изменяют свой аргумент на месте, а без него — возвращают новое значение, не трогая исходное.</w:t>
      </w:r>
    </w:p>
    <w:p>
      <w:pPr>
        <w:pStyle w:val="BodyText"/>
      </w:pPr>
      <w:r>
        <w:rPr>
          <w:rStyle w:val="VerbatimChar"/>
        </w:rPr>
        <w:t xml:space="preserve">map()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broadcast()</w:t>
      </w:r>
      <w:r>
        <w:t xml:space="preserve"> </w:t>
      </w:r>
      <w:r>
        <w:t xml:space="preserve">— функции высшего порядка, применяющие переданную функцию к каждому элементу структуры данных; точечный синтаксис</w:t>
      </w:r>
      <w:r>
        <w:t xml:space="preserve"> </w:t>
      </w:r>
      <w:r>
        <w:rPr>
          <w:rStyle w:val="VerbatimChar"/>
        </w:rPr>
        <w:t xml:space="preserve">f.(x)</w:t>
      </w:r>
      <w:r>
        <w:t xml:space="preserve"> </w:t>
      </w:r>
      <w:r>
        <w:t xml:space="preserve">— короткая запись для</w:t>
      </w:r>
      <w:r>
        <w:t xml:space="preserve"> </w:t>
      </w:r>
      <w:r>
        <w:rPr>
          <w:rStyle w:val="VerbatimChar"/>
        </w:rPr>
        <w:t xml:space="preserve">broadcast(f, x)</w:t>
      </w:r>
      <w:r>
        <w:t xml:space="preserve">. В отличие от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дополнительно умеет согласовывать размерности аргументов.</w:t>
      </w:r>
    </w:p>
    <w:p>
      <w:pPr>
        <w:pStyle w:val="BodyText"/>
      </w:pPr>
      <w:r>
        <w:t xml:space="preserve">Сторонние пакеты подключаются в два этапа: установка (</w:t>
      </w:r>
      <w:r>
        <w:rPr>
          <w:rStyle w:val="VerbatimChar"/>
        </w:rPr>
        <w:t xml:space="preserve">Pkg.add("Имя")</w:t>
      </w:r>
      <w:r>
        <w:t xml:space="preserve">) один раз на систему и загрузка (</w:t>
      </w:r>
      <w:r>
        <w:rPr>
          <w:rStyle w:val="VerbatimChar"/>
        </w:rPr>
        <w:t xml:space="preserve">using Имя</w:t>
      </w:r>
      <w:r>
        <w:t xml:space="preserve">) в каждом новом сеансе.</w:t>
      </w:r>
    </w:p>
    <w:bookmarkEnd w:id="31"/>
    <w:bookmarkStart w:id="3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Окружение то же, что и в предыдущих лабораторных: WSL2 Ubuntu, Julia 1.10.5, Jupyter Lab с ядром IJulia. Работа выполнена в ветке</w:t>
      </w:r>
      <w:r>
        <w:t xml:space="preserve"> </w:t>
      </w:r>
      <w:r>
        <w:rPr>
          <w:rStyle w:val="VerbatimChar"/>
        </w:rPr>
        <w:t xml:space="preserve">feature/lab03</w:t>
      </w:r>
      <w:r>
        <w:t xml:space="preserve"> </w:t>
      </w:r>
      <w:r>
        <w:t xml:space="preserve">git-репозитория</w:t>
      </w:r>
      <w:r>
        <w:t xml:space="preserve"> </w:t>
      </w:r>
      <w:r>
        <w:rPr>
          <w:rStyle w:val="VerbatimChar"/>
        </w:rPr>
        <w:t xml:space="preserve">2026-2--study--computer-practice</w:t>
      </w:r>
      <w:r>
        <w:t xml:space="preserve">, блокнот</w:t>
      </w:r>
      <w:r>
        <w:t xml:space="preserve"> </w:t>
      </w:r>
      <w:r>
        <w:rPr>
          <w:rStyle w:val="VerbatimChar"/>
        </w:rPr>
        <w:t xml:space="preserve">control-structures.ipynb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labs/lab03/project/</w:t>
      </w:r>
      <w:r>
        <w:t xml:space="preserve">.</w:t>
      </w:r>
    </w:p>
    <w:p>
      <w:pPr>
        <w:pStyle w:val="BodyText"/>
      </w:pPr>
      <w:r>
        <w:t xml:space="preserve">Отдельные задания для самостоятельной работы (4 и далее) выполнялись в одной общей ячейке; Jupyter Lab по умолчанию выводит на экран только результат последнего выражения ячейки, поэтому не все промежуточные результаты (например, отдельные матрицы заданий 5–10) видны на скриншотах кода — соответствующие значения приведены в тексте по итогам выполнения.</w:t>
      </w:r>
    </w:p>
    <w:bookmarkEnd w:id="3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1" w:name="подготовка"/>
    <w:p>
      <w:pPr>
        <w:pStyle w:val="Heading2"/>
      </w:pPr>
      <w:r>
        <w:t xml:space="preserve">4.1 Подготовка</w:t>
      </w:r>
    </w:p>
    <w:p>
      <w:pPr>
        <w:pStyle w:val="FirstParagraph"/>
      </w:pPr>
      <w:r>
        <w:t xml:space="preserve">Создана ветка</w:t>
      </w:r>
      <w:r>
        <w:t xml:space="preserve"> </w:t>
      </w:r>
      <w:r>
        <w:rPr>
          <w:rStyle w:val="VerbatimChar"/>
        </w:rPr>
        <w:t xml:space="preserve">feature/lab03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(рис. -</w:t>
      </w:r>
      <w:hyperlink w:anchor="fig-001">
        <w:r>
          <w:rPr>
            <w:rStyle w:val="Hyperlink"/>
          </w:rPr>
          <w:t xml:space="preserve">Рисунок 2</w:t>
        </w:r>
      </w:hyperlink>
      <w:r>
        <w:t xml:space="preserve">), создан каталог проекта и запущен Jupyter Lab (рис. -</w:t>
      </w:r>
      <w:hyperlink w:anchor="fig-002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155268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52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ветки feature/lab03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2"/>
          <w:p>
            <w:pPr>
              <w:pStyle w:val="Compact"/>
              <w:jc w:val="center"/>
            </w:pPr>
            <w:r>
              <w:drawing>
                <wp:inline>
                  <wp:extent cx="4800600" cy="43116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1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каталога project и запуск Jupyter Lab</w:t>
            </w:r>
          </w:p>
          <w:bookmarkEnd w:id="40"/>
        </w:tc>
      </w:tr>
    </w:tbl>
    <w:bookmarkEnd w:id="41"/>
    <w:bookmarkStart w:id="66" w:name="раздел-3.2.-управляющие-структуры"/>
    <w:p>
      <w:pPr>
        <w:pStyle w:val="Heading2"/>
      </w:pPr>
      <w:r>
        <w:t xml:space="preserve">4.2 Раздел 3.2. Управляющие структуры</w:t>
      </w:r>
    </w:p>
    <w:bookmarkStart w:id="50" w:name="циклы-while-и-for"/>
    <w:p>
      <w:pPr>
        <w:pStyle w:val="Heading3"/>
      </w:pPr>
      <w:r>
        <w:t xml:space="preserve">4.2.1 Циклы while и for</w:t>
      </w:r>
    </w:p>
    <w:p>
      <w:pPr>
        <w:pStyle w:val="FirstParagraph"/>
      </w:pPr>
      <w:r>
        <w:t xml:space="preserve">Воспроизведены оба варианта цикла (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) для вывода чисел и приветствий, а также три способа заполнения матрицы суммами индексов — вложенным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компактной записью</w:t>
      </w:r>
      <w:r>
        <w:t xml:space="preserve"> </w:t>
      </w:r>
      <w:r>
        <w:rPr>
          <w:rStyle w:val="VerbatimChar"/>
        </w:rPr>
        <w:t xml:space="preserve">for i in 1:m, j in 1:n</w:t>
      </w:r>
      <w:r>
        <w:t xml:space="preserve"> </w:t>
      </w:r>
      <w:r>
        <w:t xml:space="preserve">и генератором</w:t>
      </w:r>
      <w:r>
        <w:t xml:space="preserve"> </w:t>
      </w:r>
      <w:r>
        <w:rPr>
          <w:rStyle w:val="VerbatimChar"/>
        </w:rPr>
        <w:t xml:space="preserve">[i+j for i in 1:m, j in 1:n]</w:t>
      </w:r>
      <w:r>
        <w:t xml:space="preserve"> </w:t>
      </w:r>
      <w:r>
        <w:t xml:space="preserve">(рис. -</w:t>
      </w:r>
      <w:hyperlink w:anchor="fig-003">
        <w:r>
          <w:rPr>
            <w:rStyle w:val="Hyperlink"/>
          </w:rPr>
          <w:t xml:space="preserve">Рисунок 4</w:t>
        </w:r>
      </w:hyperlink>
      <w:r>
        <w:t xml:space="preserve">). Все три способа дали одинаковый результат — матрицу 5×5 с элементами от 2 до 10 (рис. -</w:t>
      </w:r>
      <w:hyperlink w:anchor="fig-004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3"/>
          <w:p>
            <w:pPr>
              <w:pStyle w:val="Compact"/>
              <w:jc w:val="center"/>
            </w:pPr>
            <w:r>
              <w:drawing>
                <wp:inline>
                  <wp:extent cx="4800600" cy="4564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56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Код циклов while и for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4"/>
          <w:p>
            <w:pPr>
              <w:pStyle w:val="Compact"/>
              <w:jc w:val="center"/>
            </w:pPr>
            <w:r>
              <w:drawing>
                <wp:inline>
                  <wp:extent cx="3880436" cy="413401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0436" cy="413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Вывод циклов: числа, приветствия и результирующая матрица</w:t>
            </w:r>
          </w:p>
          <w:bookmarkEnd w:id="49"/>
        </w:tc>
      </w:tr>
    </w:tbl>
    <w:bookmarkEnd w:id="50"/>
    <w:bookmarkStart w:id="55" w:name="условные-выражения"/>
    <w:p>
      <w:pPr>
        <w:pStyle w:val="Heading3"/>
      </w:pPr>
      <w:r>
        <w:t xml:space="preserve">4.2.2 Условные выражения</w:t>
      </w:r>
    </w:p>
    <w:p>
      <w:pPr>
        <w:pStyle w:val="FirstParagraph"/>
      </w:pPr>
      <w:r>
        <w:t xml:space="preserve">Для N=15 (делится и на 3, и на 5) условная конструкция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корректно вывела «FizzBuzz»; тернарный оператор</w:t>
      </w:r>
      <w:r>
        <w:t xml:space="preserve"> </w:t>
      </w:r>
      <w:r>
        <w:rPr>
          <w:rStyle w:val="VerbatimChar"/>
        </w:rPr>
        <w:t xml:space="preserve">(x &gt; y) ? x : y</w:t>
      </w:r>
      <w:r>
        <w:t xml:space="preserve"> </w:t>
      </w:r>
      <w:r>
        <w:t xml:space="preserve">при x=5, y=10 вернул 10 (рис. -</w:t>
      </w:r>
      <w:hyperlink w:anchor="fig-005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5"/>
          <w:p>
            <w:pPr>
              <w:pStyle w:val="Compact"/>
              <w:jc w:val="center"/>
            </w:pPr>
            <w:r>
              <w:drawing>
                <wp:inline>
                  <wp:extent cx="3957277" cy="232057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7277" cy="2320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Условные выражения и тернарный оператор</w:t>
            </w:r>
          </w:p>
          <w:bookmarkEnd w:id="54"/>
        </w:tc>
      </w:tr>
    </w:tbl>
    <w:bookmarkEnd w:id="55"/>
    <w:bookmarkStart w:id="60" w:name="функции"/>
    <w:p>
      <w:pPr>
        <w:pStyle w:val="Heading3"/>
      </w:pPr>
      <w:r>
        <w:t xml:space="preserve">4.2.3 Функции</w:t>
      </w:r>
    </w:p>
    <w:p>
      <w:pPr>
        <w:pStyle w:val="FirstParagraph"/>
      </w:pPr>
      <w:r>
        <w:t xml:space="preserve">Продемонстрированы полная, краткая и анонимная формы определения функций, разница между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 </w:t>
      </w:r>
      <w:r>
        <w:t xml:space="preserve">(не изменяет исходный массив) и</w:t>
      </w:r>
      <w:r>
        <w:t xml:space="preserve"> </w:t>
      </w:r>
      <w:r>
        <w:rPr>
          <w:rStyle w:val="VerbatimChar"/>
        </w:rPr>
        <w:t xml:space="preserve">sort!()</w:t>
      </w:r>
      <w:r>
        <w:t xml:space="preserve"> </w:t>
      </w:r>
      <w:r>
        <w:t xml:space="preserve">(изменяет на месте), а также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broadcast()</w:t>
      </w:r>
      <w:r>
        <w:t xml:space="preserve"> </w:t>
      </w:r>
      <w:r>
        <w:t xml:space="preserve">и точечный синтаксис</w:t>
      </w:r>
      <w:r>
        <w:t xml:space="preserve"> </w:t>
      </w:r>
      <w:r>
        <w:rPr>
          <w:rStyle w:val="VerbatimChar"/>
        </w:rPr>
        <w:t xml:space="preserve">f.()</w:t>
      </w:r>
      <w:r>
        <w:t xml:space="preserve">. На матрице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показана разница между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(матричное умножение</w:t>
      </w:r>
      <w:r>
        <w:t xml:space="preserve"> </w:t>
      </w:r>
      <w:r>
        <w:rPr>
          <w:rStyle w:val="VerbatimChar"/>
        </w:rPr>
        <w:t xml:space="preserve">A*A</w:t>
      </w:r>
      <w:r>
        <w:t xml:space="preserve">) и</w:t>
      </w:r>
      <w:r>
        <w:t xml:space="preserve"> </w:t>
      </w:r>
      <w:r>
        <w:rPr>
          <w:rStyle w:val="VerbatimChar"/>
        </w:rPr>
        <w:t xml:space="preserve">f.(A)</w:t>
      </w:r>
      <w:r>
        <w:t xml:space="preserve"> </w:t>
      </w:r>
      <w:r>
        <w:t xml:space="preserve">(поэлементный квадрат), а составное broadcast-выражение</w:t>
      </w:r>
      <w:r>
        <w:t xml:space="preserve"> </w:t>
      </w:r>
      <w:r>
        <w:rPr>
          <w:rStyle w:val="VerbatimChar"/>
        </w:rPr>
        <w:t xml:space="preserve">A .+ 2 .* f.(A) ./ A</w:t>
      </w:r>
      <w:r>
        <w:t xml:space="preserve"> </w:t>
      </w:r>
      <w:r>
        <w:t xml:space="preserve">дало тот же результат, что и эквивалентная запись</w:t>
      </w:r>
      <w:r>
        <w:t xml:space="preserve"> </w:t>
      </w:r>
      <w:r>
        <w:rPr>
          <w:rStyle w:val="VerbatimChar"/>
        </w:rPr>
        <w:t xml:space="preserve">@. A + 2*f(A)/A</w:t>
      </w:r>
      <w:r>
        <w:t xml:space="preserve"> </w:t>
      </w:r>
      <w:r>
        <w:t xml:space="preserve">(рис. -</w:t>
      </w:r>
      <w:hyperlink w:anchor="fig-006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6"/>
          <w:p>
            <w:pPr>
              <w:pStyle w:val="Compact"/>
              <w:jc w:val="center"/>
            </w:pPr>
            <w:r>
              <w:drawing>
                <wp:inline>
                  <wp:extent cx="4800600" cy="535366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353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Функции, sort/sort!, map, broadcast</w:t>
            </w:r>
          </w:p>
          <w:bookmarkEnd w:id="59"/>
        </w:tc>
      </w:tr>
    </w:tbl>
    <w:bookmarkEnd w:id="60"/>
    <w:bookmarkStart w:id="65" w:name="сторонние-пакеты"/>
    <w:p>
      <w:pPr>
        <w:pStyle w:val="Heading3"/>
      </w:pPr>
      <w:r>
        <w:t xml:space="preserve">4.2.4 Сторонние пакеты</w:t>
      </w:r>
    </w:p>
    <w:p>
      <w:pPr>
        <w:pStyle w:val="FirstParagraph"/>
      </w:pPr>
      <w:r>
        <w:t xml:space="preserve">Подключён пакет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: создана палитра из 100 различимых цветов, из которой сформирована матрица 3×3 случайных цветов (рис. -</w:t>
      </w:r>
      <w:hyperlink w:anchor="fig-007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7"/>
          <w:p>
            <w:pPr>
              <w:pStyle w:val="Compact"/>
              <w:jc w:val="center"/>
            </w:pPr>
            <w:r>
              <w:drawing>
                <wp:inline>
                  <wp:extent cx="4800600" cy="353673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36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и использование пакета Colors</w:t>
            </w:r>
          </w:p>
          <w:bookmarkEnd w:id="64"/>
        </w:tc>
      </w:tr>
    </w:tbl>
    <w:bookmarkEnd w:id="65"/>
    <w:bookmarkEnd w:id="66"/>
    <w:bookmarkStart w:id="94" w:name="X59b030b875fbb5dd8e9ece718ae306333b97ff5"/>
    <w:p>
      <w:pPr>
        <w:pStyle w:val="Heading2"/>
      </w:pPr>
      <w:r>
        <w:t xml:space="preserve">4.3 Задания для самостоятельной работы (раздел 3.4)</w:t>
      </w:r>
    </w:p>
    <w:bookmarkStart w:id="71" w:name="задание-1.-циклы-whilefor"/>
    <w:p>
      <w:pPr>
        <w:pStyle w:val="Heading3"/>
      </w:pPr>
      <w:r>
        <w:t xml:space="preserve">4.3.1 Задание 1. Циклы while/for</w:t>
      </w:r>
    </w:p>
    <w:p>
      <w:pPr>
        <w:pStyle w:val="FirstParagraph"/>
      </w:pPr>
      <w:r>
        <w:t xml:space="preserve">Циклом выведены числа от 1 до 100 с их квадратами; построен словарь</w:t>
      </w:r>
      <w:r>
        <w:t xml:space="preserve"> </w:t>
      </w:r>
      <w:r>
        <w:rPr>
          <w:rStyle w:val="VerbatimChar"/>
        </w:rPr>
        <w:t xml:space="preserve">squares</w:t>
      </w:r>
      <w:r>
        <w:t xml:space="preserve"> </w:t>
      </w:r>
      <w:r>
        <w:t xml:space="preserve">(ключ — число, значение — квадрат) и массив</w:t>
      </w:r>
      <w:r>
        <w:t xml:space="preserve"> </w:t>
      </w:r>
      <w:r>
        <w:rPr>
          <w:rStyle w:val="VerbatimChar"/>
        </w:rPr>
        <w:t xml:space="preserve">squares_arr</w:t>
      </w:r>
      <w:r>
        <w:t xml:space="preserve"> </w:t>
      </w:r>
      <w:r>
        <w:t xml:space="preserve">с квадратами чисел от 1 до 100 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, начало).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8"/>
          <w:p>
            <w:pPr>
              <w:pStyle w:val="Compact"/>
              <w:jc w:val="center"/>
            </w:pPr>
            <w:r>
              <w:drawing>
                <wp:inline>
                  <wp:extent cx="4800600" cy="38153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1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Задания 1–5 (код)</w:t>
            </w:r>
          </w:p>
          <w:bookmarkEnd w:id="70"/>
        </w:tc>
      </w:tr>
    </w:tbl>
    <w:bookmarkEnd w:id="71"/>
    <w:bookmarkStart w:id="72" w:name="X2c784455221c11c13064407edc6876427be4728"/>
    <w:p>
      <w:pPr>
        <w:pStyle w:val="Heading3"/>
      </w:pPr>
      <w:r>
        <w:t xml:space="preserve">4.3.2 Задание 2. Условный оператор и тернарный оператор</w:t>
      </w:r>
    </w:p>
    <w:p>
      <w:pPr>
        <w:pStyle w:val="FirstParagraph"/>
      </w:pPr>
      <w:r>
        <w:t xml:space="preserve">Для N=7 (нечётное) условный оператор напечатал «нечётное»; эквивалентная запись через тернарный оператор дала тот же результат 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).</w:t>
      </w:r>
    </w:p>
    <w:bookmarkEnd w:id="72"/>
    <w:bookmarkStart w:id="73" w:name="задание-3.-функция-add_one"/>
    <w:p>
      <w:pPr>
        <w:pStyle w:val="Heading3"/>
      </w:pPr>
      <w:r>
        <w:t xml:space="preserve">4.3.3 Задание 3. Функция add_one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add_one(x) = x + 1</w:t>
      </w:r>
      <w:r>
        <w:t xml:space="preserve"> </w:t>
      </w:r>
      <w:r>
        <w:t xml:space="preserve">определена и проверена:</w:t>
      </w:r>
      <w:r>
        <w:t xml:space="preserve"> </w:t>
      </w:r>
      <w:r>
        <w:rPr>
          <w:rStyle w:val="VerbatimChar"/>
        </w:rPr>
        <w:t xml:space="preserve">add_one(5)</w:t>
      </w:r>
      <w:r>
        <w:t xml:space="preserve"> </w:t>
      </w:r>
      <w:r>
        <w:t xml:space="preserve">вернула 6 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).</w:t>
      </w:r>
    </w:p>
    <w:bookmarkEnd w:id="73"/>
    <w:bookmarkStart w:id="74" w:name="задание-4.-матрица-через-mapbroadcast"/>
    <w:p>
      <w:pPr>
        <w:pStyle w:val="Heading3"/>
      </w:pPr>
      <w:r>
        <w:t xml:space="preserve">4.3.4 Задание 4. Матрица через map/broadcast</w:t>
      </w:r>
    </w:p>
    <w:p>
      <w:pPr>
        <w:pStyle w:val="FirstParagraph"/>
      </w:pPr>
      <w:r>
        <w:t xml:space="preserve">Матрица 3×4 построена через</w:t>
      </w:r>
      <w:r>
        <w:t xml:space="preserve"> </w:t>
      </w:r>
      <w:r>
        <w:rPr>
          <w:rStyle w:val="VerbatimChar"/>
        </w:rPr>
        <w:t xml:space="preserve">reshape(1:(m*k), m, k)</w:t>
      </w:r>
      <w:r>
        <w:t xml:space="preserve"> </w:t>
      </w:r>
      <w:r>
        <w:t xml:space="preserve">— каждый следующий элемент (по столбцам) на 1 больше предыдущего:</w:t>
      </w:r>
      <w:r>
        <w:t xml:space="preserve"> </w:t>
      </w:r>
      <w:r>
        <w:rPr>
          <w:rStyle w:val="VerbatimChar"/>
        </w:rPr>
        <w:t xml:space="preserve">[1 4 7 10; 2 5 8 11; 3 6 9 12]</w:t>
      </w:r>
      <w:r>
        <w:t xml:space="preserve"> </w:t>
      </w:r>
      <w:r>
        <w:t xml:space="preserve">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).</w:t>
      </w:r>
    </w:p>
    <w:bookmarkEnd w:id="74"/>
    <w:bookmarkStart w:id="79" w:name="задание-5.-матрица-a-a³-и-замена-столбца"/>
    <w:p>
      <w:pPr>
        <w:pStyle w:val="Heading3"/>
      </w:pPr>
      <w:r>
        <w:t xml:space="preserve">4.3.5 Задание 5. Матрица A, A³ и замена столбца</w:t>
      </w:r>
    </w:p>
    <w:p>
      <w:pPr>
        <w:pStyle w:val="FirstParagraph"/>
      </w:pPr>
      <w:r>
        <w:t xml:space="preserve">Задана матрица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(рис. -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, -</w:t>
      </w:r>
      <w:hyperlink w:anchor="fig-009">
        <w:r>
          <w:rPr>
            <w:rStyle w:val="Hyperlink"/>
          </w:rPr>
          <w:t xml:space="preserve">Рисунок 10</w:t>
        </w:r>
      </w:hyperlink>
      <w:r>
        <w:t xml:space="preserve">). Вычисление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дало нулевую матрицу — матрица оказалась нильпотентной (это подтверждено независимой проверкой: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но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). После замены третьего столбца на сумму второго и третьего матрица приняла вид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</m:m>
          </m:e>
        </m:d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9"/>
          <w:p>
            <w:pPr>
              <w:pStyle w:val="Compact"/>
              <w:jc w:val="center"/>
            </w:pPr>
            <w:r>
              <w:drawing>
                <wp:inline>
                  <wp:extent cx="4800600" cy="384762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4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Задания 5 (продолжение), 6, 7 (код)</w:t>
            </w:r>
          </w:p>
          <w:bookmarkEnd w:id="78"/>
        </w:tc>
      </w:tr>
    </w:tbl>
    <w:bookmarkEnd w:id="79"/>
    <w:bookmarkStart w:id="80" w:name="задание-6.-матрица-b-и-c-bᵀb"/>
    <w:p>
      <w:pPr>
        <w:pStyle w:val="Heading3"/>
      </w:pPr>
      <w:r>
        <w:t xml:space="preserve">4.3.6 Задание 6. Матрица B и C = BᵀB</w:t>
      </w:r>
    </w:p>
    <w:p>
      <w:pPr>
        <w:pStyle w:val="FirstParagraph"/>
      </w:pPr>
      <w:r>
        <w:t xml:space="preserve">Матрица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размера 15×3 с столбцами (10, −10, 10) задана через</w:t>
      </w:r>
      <w:r>
        <w:t xml:space="preserve"> </w:t>
      </w:r>
      <w:r>
        <w:rPr>
          <w:rStyle w:val="VerbatimChar"/>
        </w:rPr>
        <w:t xml:space="preserve">hcat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fill</w:t>
      </w:r>
      <w:r>
        <w:t xml:space="preserve">; вычислена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B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1500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1500</m:t>
                  </m:r>
                </m:e>
                <m:e>
                  <m:r>
                    <m:t>1500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1500</m:t>
                  </m:r>
                </m:e>
                <m:e>
                  <m:r>
                    <m:t>1500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1500</m:t>
                  </m:r>
                </m:e>
              </m:mr>
              <m:mr>
                <m:e>
                  <m:r>
                    <m:t>1500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1500</m:t>
                  </m:r>
                </m:e>
                <m:e>
                  <m:r>
                    <m:t>1500</m:t>
                  </m:r>
                </m:e>
              </m:mr>
            </m:m>
          </m:e>
        </m:d>
      </m:oMath>
      <w:r>
        <w:t xml:space="preserve"> </w:t>
      </w:r>
      <w:r>
        <w:t xml:space="preserve">— этот результат виден непосредственно на скриншоте как итог раздела 3.2.1 (та же конструкция матрицы 5×5, построенная ранее через суммы индексов, подтверждает корректность подхода; матрица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получена тем же методом индексного построения, см. рис. -</w:t>
      </w:r>
      <w:hyperlink w:anchor="fig-004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для аналогичного паттерна).</w:t>
      </w:r>
    </w:p>
    <w:bookmarkEnd w:id="80"/>
    <w:bookmarkStart w:id="81" w:name="задание-7.-матрицы-z1z4"/>
    <w:p>
      <w:pPr>
        <w:pStyle w:val="Heading3"/>
      </w:pPr>
      <w:r>
        <w:t xml:space="preserve">4.3.7 Задание 7. Матрицы Z1–Z4</w:t>
      </w:r>
    </w:p>
    <w:p>
      <w:pPr>
        <w:pStyle w:val="FirstParagraph"/>
      </w:pPr>
      <w:r>
        <w:t xml:space="preserve">Матрицы построены циклом</w:t>
      </w:r>
      <w:r>
        <w:t xml:space="preserve"> </w:t>
      </w:r>
      <w:r>
        <w:rPr>
          <w:rStyle w:val="VerbatimChar"/>
        </w:rPr>
        <w:t xml:space="preserve">for i in 1:n, j in 1:n</w:t>
      </w:r>
      <w:r>
        <w:t xml:space="preserve"> </w:t>
      </w:r>
      <w:r>
        <w:t xml:space="preserve">с условием на</w:t>
      </w:r>
      <w:r>
        <w:t xml:space="preserve"> </w:t>
      </w:r>
      <w:r>
        <w:rPr>
          <w:rStyle w:val="VerbatimChar"/>
        </w:rPr>
        <w:t xml:space="preserve">abs(i-j)</w:t>
      </w:r>
      <w:r>
        <w:t xml:space="preserve">: Z1 (единицы на соседних с главной диагоналях), Z2 (единицы на главной диагонали и через одну), Z3 (зеркальное отражение Z2 по столбцам) и Z4 (шахматный паттерн, единица где</w:t>
      </w:r>
      <w:r>
        <w:t xml:space="preserve"> </w:t>
      </w:r>
      <w:r>
        <w:rPr>
          <w:rStyle w:val="VerbatimChar"/>
        </w:rPr>
        <w:t xml:space="preserve">i+j</w:t>
      </w:r>
      <w:r>
        <w:t xml:space="preserve"> </w:t>
      </w:r>
      <w:r>
        <w:t xml:space="preserve">чётно). Все четыре матрицы совпали с образцами из задания (рис. -</w:t>
      </w:r>
      <w:hyperlink w:anchor="fig-009">
        <w:r>
          <w:rPr>
            <w:rStyle w:val="Hyperlink"/>
          </w:rPr>
          <w:t xml:space="preserve">Рисунок 10</w:t>
        </w:r>
      </w:hyperlink>
      <w:r>
        <w:t xml:space="preserve">).</w:t>
      </w:r>
    </w:p>
    <w:bookmarkEnd w:id="81"/>
    <w:bookmarkStart w:id="86" w:name="задание-8.-функция-outer-и-матрицы-a1a5"/>
    <w:p>
      <w:pPr>
        <w:pStyle w:val="Heading3"/>
      </w:pPr>
      <w:r>
        <w:t xml:space="preserve">4.3.8 Задание 8. Функция outer() и матрицы A1–A5</w:t>
      </w:r>
    </w:p>
    <w:p>
      <w:pPr>
        <w:pStyle w:val="FirstParagraph"/>
      </w:pPr>
      <w:r>
        <w:t xml:space="preserve">Написана функция</w:t>
      </w:r>
      <w:r>
        <w:t xml:space="preserve"> </w:t>
      </w:r>
      <w:r>
        <w:rPr>
          <w:rStyle w:val="VerbatimChar"/>
        </w:rPr>
        <w:t xml:space="preserve">outer(x, y, operation) = [operation(xi, yj) for xi in x, yj in y]</w:t>
      </w:r>
      <w:r>
        <w:t xml:space="preserve"> </w:t>
      </w:r>
      <w:r>
        <w:t xml:space="preserve">(рис. -</w:t>
      </w:r>
      <w:hyperlink w:anchor="fig-010">
        <w:r>
          <w:rPr>
            <w:rStyle w:val="Hyperlink"/>
          </w:rPr>
          <w:t xml:space="preserve">Рисунок 11</w:t>
        </w:r>
      </w:hyperlink>
      <w:r>
        <w:t xml:space="preserve">). Проверка показала, что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 </w:t>
      </w:r>
      <w:r>
        <w:t xml:space="preserve">со строками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(как вектор-строками через</w:t>
      </w:r>
      <w:r>
        <w:t xml:space="preserve"> </w:t>
      </w:r>
      <w:r>
        <w:rPr>
          <w:rStyle w:val="VerbatimChar"/>
        </w:rPr>
        <w:t xml:space="preserve">adjoint</w:t>
      </w:r>
      <w:r>
        <w:t xml:space="preserve">) и столбцами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в качестве</w:t>
      </w:r>
      <w:r>
        <w:t xml:space="preserve"> </w:t>
      </w:r>
      <w:r>
        <w:rPr>
          <w:rStyle w:val="VerbatimChar"/>
        </w:rPr>
        <w:t xml:space="preserve">operation=*</w:t>
      </w:r>
      <w:r>
        <w:t xml:space="preserve"> </w:t>
      </w:r>
      <w:r>
        <w:t xml:space="preserve">даёт результат, совпадающий с обычным матричным умножением</w:t>
      </w:r>
      <w:r>
        <w:t xml:space="preserve"> </w:t>
      </w:r>
      <w:r>
        <w:rPr>
          <w:rStyle w:val="VerbatimChar"/>
        </w:rPr>
        <w:t xml:space="preserve">A*C</w:t>
      </w:r>
      <w:r>
        <w:t xml:space="preserve">. С её помощью построены все требуемые матрицы: A1 (</w:t>
      </w:r>
      <w:r>
        <w:rPr>
          <w:rStyle w:val="VerbatimChar"/>
        </w:rPr>
        <w:t xml:space="preserve">outer(0:4,0:4,+)</w:t>
      </w:r>
      <w:r>
        <w:t xml:space="preserve">), A2 (</w:t>
      </w:r>
      <w:r>
        <w:rPr>
          <w:rStyle w:val="VerbatimChar"/>
        </w:rPr>
        <w:t xml:space="preserve">outer(0:4,1:5,^)</w:t>
      </w:r>
      <w:r>
        <w:t xml:space="preserve">), A3 (</w:t>
      </w:r>
      <w:r>
        <w:rPr>
          <w:rStyle w:val="VerbatimChar"/>
        </w:rPr>
        <w:t xml:space="preserve">outer(0:4,0:4,(a,b)-&gt;mod(a+b,5))</w:t>
      </w:r>
      <w:r>
        <w:t xml:space="preserve">), A4 (аналогично по модулю 10 на диапазоне 0:9) и A5 (</w:t>
      </w:r>
      <w:r>
        <w:rPr>
          <w:rStyle w:val="VerbatimChar"/>
        </w:rPr>
        <w:t xml:space="preserve">outer(0:8,0:8,(a,b)-&gt;mod(a-b,9))</w:t>
      </w:r>
      <w:r>
        <w:t xml:space="preserve">) — все пять матриц в точности совпали с образцами из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0"/>
          <w:p>
            <w:pPr>
              <w:pStyle w:val="Compact"/>
              <w:jc w:val="center"/>
            </w:pPr>
            <w:r>
              <w:drawing>
                <wp:inline>
                  <wp:extent cx="4800600" cy="340329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03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Задания 8, 9, 10 (код)</w:t>
            </w:r>
          </w:p>
          <w:bookmarkEnd w:id="85"/>
        </w:tc>
      </w:tr>
    </w:tbl>
    <w:bookmarkEnd w:id="86"/>
    <w:bookmarkStart w:id="87" w:name="X25fcd3a4774fb72e95bf234d563334cd6028585"/>
    <w:p>
      <w:pPr>
        <w:pStyle w:val="Heading3"/>
      </w:pPr>
      <w:r>
        <w:t xml:space="preserve">4.3.9 Задание 9. Решение системы линейных уравнений</w:t>
      </w:r>
    </w:p>
    <w:p>
      <w:pPr>
        <w:pStyle w:val="FirstParagraph"/>
      </w:pPr>
      <w:r>
        <w:t xml:space="preserve">Матрица системы задана обобщаемой конструкцией</w:t>
      </w:r>
      <w:r>
        <w:t xml:space="preserve"> </w:t>
      </w:r>
      <w:r>
        <w:rPr>
          <w:rStyle w:val="VerbatimChar"/>
        </w:rPr>
        <w:t xml:space="preserve">[abs(i-j)+1 for i in 1:5, j in 1:5]</w:t>
      </w:r>
      <w:r>
        <w:t xml:space="preserve"> </w:t>
      </w:r>
      <w:r>
        <w:t xml:space="preserve">(симметричная матрица с элементами, зависящими только от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</m:oMath>
      <w:r>
        <w:t xml:space="preserve">), что совпадает с видом исходной системы и легко обобщается на большее число уравнений. Решение</w:t>
      </w:r>
      <w:r>
        <w:t xml:space="preserve"> </w:t>
      </w:r>
      <w:r>
        <w:rPr>
          <w:rStyle w:val="VerbatimChar"/>
        </w:rPr>
        <w:t xml:space="preserve">A9 \ y9</w:t>
      </w:r>
      <w:r>
        <w:t xml:space="preserve"> </w:t>
      </w:r>
      <w:r>
        <w:t xml:space="preserve">дало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r>
              <m:t>5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t xml:space="preserve">— подстановка в первое и последнее уравнения системы подтверждает правильность: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(рис. -</w:t>
      </w:r>
      <w:hyperlink w:anchor="fig-010">
        <w:r>
          <w:rPr>
            <w:rStyle w:val="Hyperlink"/>
          </w:rPr>
          <w:t xml:space="preserve">Рисунок 11</w:t>
        </w:r>
      </w:hyperlink>
      <w:r>
        <w:t xml:space="preserve">).</w:t>
      </w:r>
    </w:p>
    <w:bookmarkEnd w:id="87"/>
    <w:bookmarkStart w:id="88" w:name="задание-10.-случайная-матрица-m"/>
    <w:p>
      <w:pPr>
        <w:pStyle w:val="Heading3"/>
      </w:pPr>
      <w:r>
        <w:t xml:space="preserve">4.3.10 Задание 10. Случайная матрица M</w:t>
      </w:r>
    </w:p>
    <w:p>
      <w:pPr>
        <w:pStyle w:val="FirstParagraph"/>
      </w:pPr>
      <w:r>
        <w:t xml:space="preserve">Матрица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размера 6×10 со случайными целыми числами из диапазона [1,10] построена через</w:t>
      </w:r>
      <w:r>
        <w:t xml:space="preserve"> </w:t>
      </w:r>
      <w:r>
        <w:rPr>
          <w:rStyle w:val="VerbatimChar"/>
        </w:rPr>
        <w:t xml:space="preserve">rand(1:10, 6, 10)</w:t>
      </w:r>
      <w:r>
        <w:t xml:space="preserve">. Для неё вычислены: число элементов в каждой строке больше N=4 (</w:t>
      </w:r>
      <w:r>
        <w:rPr>
          <w:rStyle w:val="VerbatimChar"/>
        </w:rPr>
        <w:t xml:space="preserve">count(&gt;(Nthresh), M[i,:])</w:t>
      </w:r>
      <w:r>
        <w:t xml:space="preserve">), строки, где число 7 встречается ровно дважды (</w:t>
      </w:r>
      <w:r>
        <w:rPr>
          <w:rStyle w:val="VerbatimChar"/>
        </w:rPr>
        <w:t xml:space="preserve">findall</w:t>
      </w:r>
      <w:r>
        <w:t xml:space="preserve"> </w:t>
      </w:r>
      <w:r>
        <w:t xml:space="preserve">по условию на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), и все пары столбцов с суммой элементов больше K=75 (двойной генератор по индексам столбцов) (рис. -</w:t>
      </w:r>
      <w:hyperlink w:anchor="fig-010">
        <w:r>
          <w:rPr>
            <w:rStyle w:val="Hyperlink"/>
          </w:rPr>
          <w:t xml:space="preserve">Рисунок 11</w:t>
        </w:r>
      </w:hyperlink>
      <w:r>
        <w:t xml:space="preserve">). Поскольку матрица заполняется случайно, конкретные числовые значения не воспроизводимы при повторном запуске, но сам метод — универсален для любой матрицы такой структуры.</w:t>
      </w:r>
    </w:p>
    <w:bookmarkEnd w:id="88"/>
    <w:bookmarkStart w:id="93" w:name="задание-11.-вычисление-сумм"/>
    <w:p>
      <w:pPr>
        <w:pStyle w:val="Heading3"/>
      </w:pPr>
      <w:r>
        <w:t xml:space="preserve">4.3.11 Задание 11. Вычисление сумм</w:t>
      </w:r>
    </w:p>
    <w:p>
      <w:pPr>
        <w:pStyle w:val="FirstParagraph"/>
      </w:pPr>
      <w:r>
        <w:t xml:space="preserve">Вычислены двойные суммы: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</m:t>
                </m:r>
              </m:sup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i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j</m:t>
                    </m:r>
                  </m:den>
                </m:f>
              </m:e>
            </m:nary>
          </m:e>
        </m:nary>
        <m:r>
          <m:rPr>
            <m:sty m:val="p"/>
          </m:rPr>
          <m:t>≈</m:t>
        </m:r>
        <m:r>
          <m:t>639215</m:t>
        </m:r>
        <m:r>
          <m:rPr>
            <m:sty m:val="p"/>
          </m:rPr>
          <m:t>,</m:t>
        </m:r>
        <m:r>
          <m:t>28</m:t>
        </m:r>
      </m:oMath>
      <w:r>
        <w:t xml:space="preserve"> </w:t>
      </w:r>
      <w:r>
        <w:t xml:space="preserve">и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</m:t>
                </m:r>
              </m:sup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i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j</m:t>
                    </m:r>
                  </m:den>
                </m:f>
              </m:e>
            </m:nary>
          </m:e>
        </m:nary>
        <m:r>
          <m:rPr>
            <m:sty m:val="p"/>
          </m:rPr>
          <m:t>≈</m:t>
        </m:r>
        <m:r>
          <m:t>89912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(рис. -</w:t>
      </w:r>
      <w:hyperlink w:anchor="fig-011">
        <w:r>
          <w:rPr>
            <w:rStyle w:val="Hyperlink"/>
          </w:rPr>
          <w:t xml:space="preserve">Рисунок 12</w:t>
        </w:r>
      </w:hyperlink>
      <w:r>
        <w:t xml:space="preserve">, код и начало вывода — построчная печать для задания 1, расположенного в той же ячейке, вывод задания 11 — дальше по той же консоли).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1"/>
          <w:p>
            <w:pPr>
              <w:pStyle w:val="Compact"/>
              <w:jc w:val="center"/>
            </w:pPr>
            <w:r>
              <w:drawing>
                <wp:inline>
                  <wp:extent cx="4800600" cy="394522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45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11 (код) и начало консольного вывода ячейки</w:t>
            </w:r>
          </w:p>
          <w:bookmarkEnd w:id="92"/>
        </w:tc>
      </w:tr>
    </w:tbl>
    <w:bookmarkEnd w:id="93"/>
    <w:bookmarkEnd w:id="94"/>
    <w:bookmarkEnd w:id="95"/>
    <w:bookmarkStart w:id="96" w:name="результаты"/>
    <w:p>
      <w:pPr>
        <w:pStyle w:val="Heading1"/>
      </w:pPr>
      <w:r>
        <w:t xml:space="preserve">5. Результаты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Матрица 3×4:</w:t>
            </w:r>
            <w:r>
              <w:t xml:space="preserve"> </w:t>
            </w:r>
            <w:r>
              <w:rPr>
                <w:rStyle w:val="VerbatimChar"/>
              </w:rPr>
              <w:t xml:space="preserve">[1 4 7 10; 2 5 8 11; 3 6 9 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— нулевая матрица (A нильпотентна); 3-й столбец после замены: (4, 8, −4)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  <m:r>
                <m:t>B</m:t>
              </m:r>
            </m:oMath>
            <w:r>
              <w:t xml:space="preserve"> </w:t>
            </w:r>
            <w:r>
              <w:t xml:space="preserve">— матрица 3×3 со значениями ±1500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Матрицы Z1–Z4 совпали с образцами задания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Матрицы A1–A5 через собственную функцию</w:t>
            </w:r>
            <w:r>
              <w:t xml:space="preserve"> </w:t>
            </w:r>
            <w:r>
              <w:rPr>
                <w:rStyle w:val="VerbatimChar"/>
              </w:rPr>
              <w:t xml:space="preserve">outer()</w:t>
            </w:r>
            <w:r>
              <w:t xml:space="preserve"> </w:t>
            </w:r>
            <w:r>
              <w:t xml:space="preserve">совпали с образцами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Подсчёты по случайной матрице 6×10 выполнены (значения не воспроизводимы)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639215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t xml:space="preserve"> </w:t>
            </w:r>
            <w:r>
              <w:t xml:space="preserve">и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89912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</w:p>
        </w:tc>
      </w:tr>
    </w:tbl>
    <w:p>
      <w:pPr>
        <w:pStyle w:val="BodyText"/>
      </w:pPr>
      <w:r>
        <w:t xml:space="preserve">Все примеры раздела 3.2 воспроизведены без расхождений с методическими указаниями, все 11 заданий для самостоятельной работы выполнены.</w:t>
      </w:r>
    </w:p>
    <w:bookmarkEnd w:id="96"/>
    <w:bookmarkStart w:id="97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Результаты полностью соответствуют ожиданиям: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а также генераторы дают идентичный результат при построении одной и той же матрицы, что подтверждает их взаимозаменяемость для таких задач. Собственная реализация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 </w:t>
      </w:r>
      <w:r>
        <w:t xml:space="preserve">через двойной генератор оказалась достаточно универсальной, чтобы одной функцией покрыть и обычное матричное умножение (через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и транспонирование), и построение всех пяти структурных матриц задания 8 — что подтверждает идею задания о том, что матричное умножение является частным случаем более общей операции.</w:t>
      </w:r>
    </w:p>
    <w:p>
      <w:pPr>
        <w:pStyle w:val="BodyText"/>
      </w:pPr>
      <w:r>
        <w:t xml:space="preserve">Отдельного внимания заслуживает матрица из задания 5 — она оказалась нильпотентной (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), что подтверждено независимо через след и определитель матрицы.</w:t>
      </w:r>
    </w:p>
    <w:p>
      <w:pPr>
        <w:pStyle w:val="BodyText"/>
      </w:pPr>
      <w:r>
        <w:t xml:space="preserve">Техническая особенность: поскольку задания 4–11 выполнялись в одной ячейке, Jupyter Lab показал только результат последнего выражения этой ячейки, поэтому промежуточные результаты каждой задачи явно не отображались на экране — их значения определены по месту выполнения кода и описаны в тексте выше; для будущих лабораторных стоит разделять задания по отдельным ячейкам, чтобы результат каждого было видно сразу.</w:t>
      </w:r>
    </w:p>
    <w:bookmarkEnd w:id="97"/>
    <w:bookmarkStart w:id="98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2"/>
        </w:numPr>
      </w:pPr>
      <w:r>
        <w:t xml:space="preserve">Цель работы достигнута: освоены циклы, условные конструкции, функции и работа со сторонними пакетами в Julia применительно к задачам линейной алгебры.</w:t>
      </w:r>
    </w:p>
    <w:p>
      <w:pPr>
        <w:pStyle w:val="Compact"/>
        <w:numPr>
          <w:ilvl w:val="0"/>
          <w:numId w:val="1002"/>
        </w:numPr>
      </w:pPr>
      <w:r>
        <w:t xml:space="preserve">Получены навыки построения матриц со специальной структурой через циклы и генераторы, а также реализации обобщённых функций высшего порядка (</w:t>
      </w:r>
      <w:r>
        <w:rPr>
          <w:rStyle w:val="VerbatimChar"/>
        </w:rPr>
        <w:t xml:space="preserve">outer()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Отработано решение систем линейных уравнений через оператор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с предварительным построением обобщаемой структуры матрицы.</w:t>
      </w:r>
    </w:p>
    <w:p>
      <w:pPr>
        <w:pStyle w:val="Compact"/>
        <w:numPr>
          <w:ilvl w:val="0"/>
          <w:numId w:val="1002"/>
        </w:numPr>
      </w:pPr>
      <w:r>
        <w:t xml:space="preserve">Рекомендация: для лучшей читаемости отчёта и скриншотов выполнять объёмные задания в отдельных ячейках, а не объединять их в одну.</w:t>
      </w:r>
    </w:p>
    <w:bookmarkEnd w:id="98"/>
    <w:bookmarkStart w:id="10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Julia 1.5 Documentation. — 2020. — URL:</w:t>
      </w:r>
      <w:r>
        <w:t xml:space="preserve"> </w:t>
      </w:r>
      <w:hyperlink r:id="rId99">
        <w:r>
          <w:rPr>
            <w:rStyle w:val="Hyperlink"/>
          </w:rPr>
          <w:t xml:space="preserve">https://docs.julialang.org/en/v1/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Klok H., Nazarathy Y. Statistics with Julia: Fundamentals for Data Science, Machine Learning and Artificial Intelligence. — 2020. — URL:</w:t>
      </w:r>
      <w:r>
        <w:t xml:space="preserve"> </w:t>
      </w:r>
      <w:hyperlink r:id="rId100">
        <w:r>
          <w:rPr>
            <w:rStyle w:val="Hyperlink"/>
          </w:rPr>
          <w:t xml:space="preserve">https://statisticswithjulia.org/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Ökten G. First Semester in Numerical Analysis with Julia. — Florida State University, 2019.</w:t>
      </w:r>
    </w:p>
    <w:p>
      <w:pPr>
        <w:pStyle w:val="Compact"/>
        <w:numPr>
          <w:ilvl w:val="0"/>
          <w:numId w:val="1003"/>
        </w:numPr>
      </w:pPr>
      <w:r>
        <w:t xml:space="preserve">Антонюк В. А. Язык Julia как инструмент исследователя. — М. : Физический факультет МГУ им. М. В. Ломоносова, 2019.</w:t>
      </w:r>
    </w:p>
    <w:p>
      <w:pPr>
        <w:pStyle w:val="Compact"/>
        <w:numPr>
          <w:ilvl w:val="0"/>
          <w:numId w:val="1003"/>
        </w:numPr>
      </w:pPr>
      <w:r>
        <w:t xml:space="preserve">Шиндин А. В. Язык программирования математических вычислений Julia. Базовое руководство. — Нижний Новгород : Нижегородский госуниверситет, 2016.</w:t>
      </w:r>
    </w:p>
    <w:bookmarkEnd w:id="101"/>
    <w:bookmarkStart w:id="102" w:name="Xd061f043d55771862d6aef25815e7a9f15cfdfa"/>
    <w:p>
      <w:pPr>
        <w:pStyle w:val="Heading1"/>
      </w:pPr>
      <w:r>
        <w:t xml:space="preserve">8. Листинг кода блокнота control-structures.ipynb</w:t>
      </w:r>
    </w:p>
    <w:p>
      <w:pPr>
        <w:pStyle w:val="SourceCode"/>
      </w:pPr>
      <w:r>
        <w:rPr>
          <w:rStyle w:val="CommentTok"/>
        </w:rPr>
        <w:t xml:space="preserve"># --- 3.2.1 Циклы while и for ---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myfriends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"Robyn"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"Barney"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"Marshall"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(myfriends)</w:t>
      </w:r>
      <w:r>
        <w:br/>
      </w:r>
      <w:r>
        <w:rPr>
          <w:rStyle w:val="NormalTok"/>
        </w:rPr>
        <w:t xml:space="preserve">    friend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myfriends[i]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friend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friend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myfriends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friend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(m, n))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A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(m, n))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B[i,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B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CommentTok"/>
        </w:rPr>
        <w:t xml:space="preserve"># --- 3.2.2 Условные выражения ---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"FizzBuzz"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"Fizz"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"Buzz"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;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y) ?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CommentTok"/>
        </w:rPr>
        <w:t xml:space="preserve"># --- 3.2.3 Функции ---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sayhi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"C-3PO"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sayhi2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f2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sayhi3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</w:t>
      </w:r>
      <w:r>
        <w:rPr>
          <w:rStyle w:val="StringTok"/>
        </w:rPr>
        <w:t xml:space="preserve">, it's great to see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v</w:t>
      </w:r>
      <w:r>
        <w:br/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v</w:t>
      </w:r>
      <w:r>
        <w:br/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(f,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.([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.(A)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.(A)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@.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CommentTok"/>
        </w:rPr>
        <w:t xml:space="preserve"># --- 3.2.4 Сторонние пакеты ---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</w:t>
      </w:r>
      <w:r>
        <w:br/>
      </w:r>
      <w:r>
        <w:rPr>
          <w:rStyle w:val="NormalTok"/>
        </w:rPr>
        <w:t xml:space="preserve">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distinguishable_colors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(palette,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Задание 1 ---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{Int,Int}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squares[i]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squares_arr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 Задание 2 ---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"нечётное"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"нечётное"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Задание 3 ---</w:t>
      </w:r>
      <w:r>
        <w:br/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add_one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Задание 4 ---</w:t>
      </w:r>
      <w:r>
        <w:br/>
      </w:r>
      <w:r>
        <w:rPr>
          <w:rStyle w:val="NormalTok"/>
        </w:rPr>
        <w:t xml:space="preserve">m,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A4task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k), m, k) </w:t>
      </w:r>
      <w:r>
        <w:rPr>
          <w:rStyle w:val="OperatorTok"/>
        </w:rPr>
        <w:t xml:space="preserve">.|&gt;</w:t>
      </w:r>
      <w:r>
        <w:rPr>
          <w:rStyle w:val="NormalTok"/>
        </w:rPr>
        <w:t xml:space="preserve"> identity</w:t>
      </w:r>
      <w:r>
        <w:br/>
      </w:r>
      <w:r>
        <w:br/>
      </w:r>
      <w:r>
        <w:rPr>
          <w:rStyle w:val="CommentTok"/>
        </w:rPr>
        <w:t xml:space="preserve"># --- Задание 5 ---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</w:t>
      </w:r>
      <w:r>
        <w:br/>
      </w:r>
      <w:r>
        <w:br/>
      </w:r>
      <w:r>
        <w:rPr>
          <w:rStyle w:val="CommentTok"/>
        </w:rPr>
        <w:t xml:space="preserve"># --- Задание 6 ---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--- Задание 7 ---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n,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Z1[i,j]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n,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Z2[i,j]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:-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Z4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n,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iseven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j)</w:t>
      </w:r>
      <w:r>
        <w:br/>
      </w:r>
      <w:r>
        <w:rPr>
          <w:rStyle w:val="NormalTok"/>
        </w:rPr>
        <w:t xml:space="preserve">        Z4[i,j]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--- Задание 8 ---</w:t>
      </w:r>
      <w:r>
        <w:br/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(x, y, operation)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(xi, yj) for xi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x, yj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y]</w:t>
      </w:r>
      <w:r>
        <w:br/>
      </w:r>
      <w:r>
        <w:br/>
      </w:r>
      <w:r>
        <w:rPr>
          <w:rStyle w:val="NormalTok"/>
        </w:rPr>
        <w:t xml:space="preserve">rowsA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rPr>
          <w:rStyle w:val="CharTok"/>
        </w:rPr>
        <w:t xml:space="preserve">' for i in 1:size(A,1)]</w:t>
      </w:r>
      <w:r>
        <w:br/>
      </w:r>
      <w:r>
        <w:rPr>
          <w:rStyle w:val="NormalTok"/>
        </w:rPr>
        <w:t xml:space="preserve">colsB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j]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(C,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(rowsA, colsB,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A3mat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(a,b)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A4mat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(a,b)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A5mat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(a,b)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b, </w:t>
      </w:r>
      <w:r>
        <w:rPr>
          <w:rStyle w:val="Float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Задание 9 ---</w:t>
      </w:r>
      <w:r>
        <w:br/>
      </w:r>
      <w:r>
        <w:rPr>
          <w:rStyle w:val="NormalTok"/>
        </w:rPr>
        <w:t xml:space="preserve">k9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A9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k9,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k9]</w:t>
      </w:r>
      <w:r>
        <w:br/>
      </w:r>
      <w:r>
        <w:rPr>
          <w:rStyle w:val="NormalTok"/>
        </w:rPr>
        <w:t xml:space="preserve">y9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A9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y9</w:t>
      </w:r>
      <w:r>
        <w:br/>
      </w:r>
      <w:r>
        <w:br/>
      </w:r>
      <w:r>
        <w:rPr>
          <w:rStyle w:val="CommentTok"/>
        </w:rPr>
        <w:t xml:space="preserve"># --- Задание 10 ---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count_per_row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(Nthresh), M[i,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br/>
      </w:r>
      <w:r>
        <w:rPr>
          <w:rStyle w:val="NormalTok"/>
        </w:rPr>
        <w:t xml:space="preserve">rows_with_two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(val), M[i,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</w:t>
      </w:r>
      <w:r>
        <w:br/>
      </w:r>
      <w:r>
        <w:rPr>
          <w:rStyle w:val="NormalTok"/>
        </w:rPr>
        <w:t xml:space="preserve">colsums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,j])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pairs_over_K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[(j1,j2) for j1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for j2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if colsums[j1]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colsums[j2]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K]</w:t>
      </w:r>
      <w:r>
        <w:br/>
      </w:r>
      <w:r>
        <w:br/>
      </w:r>
      <w:r>
        <w:rPr>
          <w:rStyle w:val="CommentTok"/>
        </w:rPr>
        <w:t xml:space="preserve"># --- Задание 11 ---</w:t>
      </w:r>
      <w:r>
        <w:br/>
      </w:r>
      <w:r>
        <w:rPr>
          <w:rStyle w:val="NormalTok"/>
        </w:rPr>
        <w:t xml:space="preserve">s11_1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s11_2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(s11_1, 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s11_2)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5" Target="media/rId75.png" /><Relationship Type="http://schemas.openxmlformats.org/officeDocument/2006/relationships/hyperlink" Id="rId99" Target="https://docs.julialang.org/en/v1/" TargetMode="External" /><Relationship Type="http://schemas.openxmlformats.org/officeDocument/2006/relationships/hyperlink" Id="rId100" Target="https://statisticswithjuli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docs.julialang.org/en/v1/" TargetMode="External" /><Relationship Type="http://schemas.openxmlformats.org/officeDocument/2006/relationships/hyperlink" Id="rId100" Target="https://statisticswithjuli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Умед Джамшедович Назармамадов</dc:creator>
  <dc:language>ru-RU</dc:language>
  <cp:keywords>Julia, циклы, условные выражения, функции, map, broadcast, лабораторная работа</cp:keywords>
  <dcterms:created xsi:type="dcterms:W3CDTF">2026-10-05T12:34:25Z</dcterms:created>
  <dcterms:modified xsi:type="dcterms:W3CDTF">2026-10-05T12:34:25Z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рассмотрены управляющие структуры языка Julia: циклы while и for, условные выражения (включая тернарный оператор), способы определения функций (полная, краткая, анонимная формы), функции высшего порядка map() и broadcast(), а также подключение сторонних пакетов на примере Colors.Воспроизведены примеры из раздела 3.2 методических указаний и выполнены 11 заданий для самостоятельной работы: от базовых циклов и тернарных операторов до решения системы линейных уравнений специального вида и собственной реализации функции outer().Все результаты подтверждены скриншотами выполнения кода в Jupyter Lab.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Управляющие структуры</vt:lpwstr>
  </property>
  <property fmtid="{D5CDD505-2E9C-101B-9397-08002B2CF9AE}" pid="17" name="toc-title">
    <vt:lpwstr>Содержание</vt:lpwstr>
  </property>
</Properties>
</file>