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3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41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Julia.</w:t>
      </w:r>
      <w:r>
        <w:t xml:space="preserve"> </w:t>
      </w: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настройка.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принципы</w:t>
      </w:r>
    </w:p>
    <w:p>
      <w:pPr>
        <w:pStyle w:val="Author"/>
      </w:pPr>
      <w:r>
        <w:t xml:space="preserve">Умед</w:t>
      </w:r>
      <w:r>
        <w:t xml:space="preserve"> </w:t>
      </w:r>
      <w:r>
        <w:t xml:space="preserve">Джамшедович</w:t>
      </w:r>
      <w:r>
        <w:t xml:space="preserve"> </w:t>
      </w:r>
      <w:r>
        <w:t xml:space="preserve">Назармамадов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</w:t>
      </w:r>
      <w:r>
        <w:t xml:space="preserve"> </w:t>
      </w:r>
      <w:r>
        <w:t xml:space="preserve">отчёте</w:t>
      </w:r>
      <w:r>
        <w:t xml:space="preserve"> </w:t>
      </w:r>
      <w:r>
        <w:t xml:space="preserve">описана</w:t>
      </w:r>
      <w:r>
        <w:t xml:space="preserve"> </w:t>
      </w:r>
      <w:r>
        <w:t xml:space="preserve">подготовка</w:t>
      </w:r>
      <w:r>
        <w:t xml:space="preserve"> </w:t>
      </w:r>
      <w:r>
        <w:t xml:space="preserve">рабочего</w:t>
      </w:r>
      <w:r>
        <w:t xml:space="preserve"> </w:t>
      </w:r>
      <w:r>
        <w:t xml:space="preserve">окружения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языком</w:t>
      </w:r>
      <w:r>
        <w:t xml:space="preserve"> </w:t>
      </w:r>
      <w:r>
        <w:t xml:space="preserve">программирования</w:t>
      </w:r>
      <w:r>
        <w:t xml:space="preserve"> </w:t>
      </w:r>
      <w:r>
        <w:t xml:space="preserve">Julia:</w:t>
      </w:r>
      <w:r>
        <w:t xml:space="preserve"> </w:t>
      </w:r>
      <w:r>
        <w:t xml:space="preserve">установка</w:t>
      </w:r>
      <w:r>
        <w:t xml:space="preserve"> </w:t>
      </w:r>
      <w:r>
        <w:t xml:space="preserve">Julia,</w:t>
      </w:r>
      <w:r>
        <w:t xml:space="preserve"> </w:t>
      </w:r>
      <w:r>
        <w:t xml:space="preserve">Jupyter</w:t>
      </w:r>
      <w:r>
        <w:t xml:space="preserve"> </w:t>
      </w:r>
      <w:r>
        <w:t xml:space="preserve">Lab</w:t>
      </w:r>
      <w:r>
        <w:t xml:space="preserve"> </w:t>
      </w:r>
      <w:r>
        <w:t xml:space="preserve">и</w:t>
      </w:r>
      <w:r>
        <w:t xml:space="preserve"> </w:t>
      </w:r>
      <w:r>
        <w:t xml:space="preserve">ядра</w:t>
      </w:r>
      <w:r>
        <w:t xml:space="preserve"> </w:t>
      </w:r>
      <w:r>
        <w:t xml:space="preserve">IJulia</w:t>
      </w:r>
      <w:r>
        <w:t xml:space="preserve"> </w:t>
      </w:r>
      <w:r>
        <w:t xml:space="preserve">в</w:t>
      </w:r>
      <w:r>
        <w:t xml:space="preserve"> </w:t>
      </w:r>
      <w:r>
        <w:t xml:space="preserve">среде</w:t>
      </w:r>
      <w:r>
        <w:t xml:space="preserve"> </w:t>
      </w:r>
      <w:r>
        <w:t xml:space="preserve">WSL</w:t>
      </w:r>
      <w:r>
        <w:t xml:space="preserve"> </w:t>
      </w:r>
      <w:r>
        <w:t xml:space="preserve">Ubuntu.</w:t>
      </w:r>
    </w:p>
    <w:p>
      <w:pPr>
        <w:pStyle w:val="Abstract"/>
      </w:pPr>
      <w:r>
        <w:t xml:space="preserve">Воспроизведены</w:t>
      </w:r>
      <w:r>
        <w:t xml:space="preserve"> </w:t>
      </w:r>
      <w:r>
        <w:t xml:space="preserve">базовые</w:t>
      </w:r>
      <w:r>
        <w:t xml:space="preserve"> </w:t>
      </w:r>
      <w:r>
        <w:t xml:space="preserve">примеры</w:t>
      </w:r>
      <w:r>
        <w:t xml:space="preserve"> </w:t>
      </w:r>
      <w:r>
        <w:t xml:space="preserve">синтаксиса</w:t>
      </w:r>
      <w:r>
        <w:t xml:space="preserve"> </w:t>
      </w:r>
      <w:r>
        <w:t xml:space="preserve">Julia</w:t>
      </w:r>
      <w:r>
        <w:t xml:space="preserve"> </w:t>
      </w:r>
      <w:r>
        <w:t xml:space="preserve">(типы</w:t>
      </w:r>
      <w:r>
        <w:t xml:space="preserve"> </w:t>
      </w:r>
      <w:r>
        <w:t xml:space="preserve">данных,</w:t>
      </w:r>
      <w:r>
        <w:t xml:space="preserve"> </w:t>
      </w:r>
      <w:r>
        <w:t xml:space="preserve">преобразование</w:t>
      </w:r>
      <w:r>
        <w:t xml:space="preserve"> </w:t>
      </w:r>
      <w:r>
        <w:t xml:space="preserve">типов,</w:t>
      </w:r>
      <w:r>
        <w:t xml:space="preserve"> </w:t>
      </w:r>
      <w:r>
        <w:t xml:space="preserve">функции,</w:t>
      </w:r>
      <w:r>
        <w:t xml:space="preserve"> </w:t>
      </w:r>
      <w:r>
        <w:t xml:space="preserve">векторы</w:t>
      </w:r>
      <w:r>
        <w:t xml:space="preserve"> </w:t>
      </w:r>
      <w:r>
        <w:t xml:space="preserve">и</w:t>
      </w:r>
      <w:r>
        <w:t xml:space="preserve"> </w:t>
      </w:r>
      <w:r>
        <w:t xml:space="preserve">матрицы)</w:t>
      </w:r>
      <w:r>
        <w:t xml:space="preserve"> </w:t>
      </w:r>
      <w:r>
        <w:t xml:space="preserve">и</w:t>
      </w:r>
      <w:r>
        <w:t xml:space="preserve"> </w:t>
      </w:r>
      <w:r>
        <w:t xml:space="preserve">выполнены</w:t>
      </w:r>
      <w:r>
        <w:t xml:space="preserve"> </w:t>
      </w:r>
      <w:r>
        <w:t xml:space="preserve">четыре</w:t>
      </w:r>
      <w:r>
        <w:t xml:space="preserve"> </w:t>
      </w:r>
      <w:r>
        <w:t xml:space="preserve">задания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самостоятельной</w:t>
      </w:r>
      <w:r>
        <w:t xml:space="preserve"> </w:t>
      </w:r>
      <w:r>
        <w:t xml:space="preserve">работы:</w:t>
      </w:r>
      <w:r>
        <w:t xml:space="preserve"> </w:t>
      </w:r>
      <w:r>
        <w:t xml:space="preserve">функции</w:t>
      </w:r>
      <w:r>
        <w:t xml:space="preserve"> </w:t>
      </w:r>
      <w:r>
        <w:t xml:space="preserve">ввода-вывода,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,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с</w:t>
      </w:r>
      <w:r>
        <w:t xml:space="preserve"> </w:t>
      </w:r>
      <w:r>
        <w:t xml:space="preserve">разными</w:t>
      </w:r>
      <w:r>
        <w:t xml:space="preserve"> </w:t>
      </w:r>
      <w:r>
        <w:t xml:space="preserve">типами</w:t>
      </w:r>
      <w:r>
        <w:t xml:space="preserve"> </w:t>
      </w:r>
      <w:r>
        <w:t xml:space="preserve">данных,</w:t>
      </w:r>
      <w:r>
        <w:t xml:space="preserve"> </w:t>
      </w:r>
      <w:r>
        <w:t xml:space="preserve">операции</w:t>
      </w:r>
      <w:r>
        <w:t xml:space="preserve"> </w:t>
      </w:r>
      <w:r>
        <w:t xml:space="preserve">над</w:t>
      </w:r>
      <w:r>
        <w:t xml:space="preserve"> </w:t>
      </w:r>
      <w:r>
        <w:t xml:space="preserve">матрицами</w:t>
      </w:r>
      <w:r>
        <w:t xml:space="preserve"> </w:t>
      </w:r>
      <w:r>
        <w:t xml:space="preserve">и</w:t>
      </w:r>
      <w:r>
        <w:t xml:space="preserve"> </w:t>
      </w:r>
      <w:r>
        <w:t xml:space="preserve">векторами.</w:t>
      </w:r>
    </w:p>
    <w:p>
      <w:pPr>
        <w:pStyle w:val="Abstract"/>
      </w:pPr>
      <w:r>
        <w:t xml:space="preserve">Все</w:t>
      </w:r>
      <w:r>
        <w:t xml:space="preserve"> </w:t>
      </w:r>
      <w:r>
        <w:t xml:space="preserve">результаты</w:t>
      </w:r>
      <w:r>
        <w:t xml:space="preserve"> </w:t>
      </w:r>
      <w:r>
        <w:t xml:space="preserve">подтверждены</w:t>
      </w:r>
      <w:r>
        <w:t xml:space="preserve"> </w:t>
      </w:r>
      <w:r>
        <w:t xml:space="preserve">скриншотами</w:t>
      </w:r>
      <w:r>
        <w:t xml:space="preserve"> </w:t>
      </w:r>
      <w:r>
        <w:t xml:space="preserve">выполнения</w:t>
      </w:r>
      <w:r>
        <w:t xml:space="preserve"> </w:t>
      </w:r>
      <w:r>
        <w:t xml:space="preserve">кода</w:t>
      </w:r>
      <w:r>
        <w:t xml:space="preserve"> </w:t>
      </w:r>
      <w:r>
        <w:t xml:space="preserve">в</w:t>
      </w:r>
      <w:r>
        <w:t xml:space="preserve"> </w:t>
      </w:r>
      <w:r>
        <w:t xml:space="preserve">Jupyter</w:t>
      </w:r>
      <w:r>
        <w:t xml:space="preserve"> </w:t>
      </w:r>
      <w:r>
        <w:t xml:space="preserve">Lab.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Julia — язык программирования, ориентированный на научные и численные вычисления, сочетающий динамическую типизацию с производительностью, близкой к компилируемым языкам за счёт JIT-компиляции через LLVM. Он используется в курсе «Компьютерный практикум по статистическому анализу данных» как основной инструмент для последующих лабораторных работ, поэтому важно на первом занятии освоить установку окружения и базовый синтаксис.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Подготовить рабочее пространство и инструментарий для работы с языком программирования Julia, на простейших примерах познакомиться с основами синтаксиса Julia.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Julia и Jupyter под свою операционную систему.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повторить примеры из раздела 1.3.3 методических указаний.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 (раздел 1.3.4): функции ввода-вывода,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, арифметика с разными типами, операции над матрицами и векторами.</w:t>
      </w:r>
    </w:p>
    <w:bookmarkEnd w:id="22"/>
    <w:bookmarkStart w:id="23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исследования — язык программирования Julia и среда интерактивной разработки Jupyter Lab. Предмет исследования — базовые конструкции синтаксиса Julia: система типов, преобразование и приведение типов, функции, работа с векторами и матрицами.</w:t>
      </w:r>
    </w:p>
    <w:bookmarkEnd w:id="23"/>
    <w:bookmarkStart w:id="24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интерактивной среде Jupyter Lab (ядро IJulia): последовательное выполнение примеров кода в ячейках блокнота с анализом полученных результатов.</w:t>
      </w:r>
    </w:p>
    <w:bookmarkEnd w:id="24"/>
    <w:bookmarkStart w:id="29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 -</w:t>
      </w:r>
      <w:hyperlink w:anchor="fig-flowchart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0668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omputer-practice-lab01-report_files/figure-docx/mermaid-figure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28"/>
        </w:tc>
      </w:tr>
    </w:tbl>
    <w:bookmarkEnd w:id="29"/>
    <w:bookmarkEnd w:id="30"/>
    <w:bookmarkStart w:id="31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Julia использует динамическую типизацию с системой параметрических типов (например,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Complex{Float64}</w:t>
      </w:r>
      <w:r>
        <w:t xml:space="preserve">), между которыми при смешанных операциях действует автоматическое повышение типа (</w:t>
      </w:r>
      <w:r>
        <w:rPr>
          <w:i/>
          <w:iCs/>
        </w:rPr>
        <w:t xml:space="preserve">type promotion</w:t>
      </w:r>
      <w:r>
        <w:t xml:space="preserve">) — более узкий тип приводится к более широкому. Для явного управления типами служат конструкторы типов (</w:t>
      </w:r>
      <w:r>
        <w:rPr>
          <w:rStyle w:val="VerbatimChar"/>
        </w:rPr>
        <w:t xml:space="preserve">Int64(x)</w:t>
      </w:r>
      <w:r>
        <w:t xml:space="preserve">), функция</w:t>
      </w:r>
      <w:r>
        <w:t xml:space="preserve"> </w:t>
      </w:r>
      <w:r>
        <w:rPr>
          <w:rStyle w:val="VerbatimChar"/>
        </w:rPr>
        <w:t xml:space="preserve">convert()</w:t>
      </w:r>
      <w:r>
        <w:t xml:space="preserve"> </w:t>
      </w:r>
      <w:r>
        <w:t xml:space="preserve">и функция</w:t>
      </w:r>
      <w:r>
        <w:t xml:space="preserve"> </w:t>
      </w:r>
      <w:r>
        <w:rPr>
          <w:rStyle w:val="VerbatimChar"/>
        </w:rPr>
        <w:t xml:space="preserve">promote()</w:t>
      </w:r>
      <w:r>
        <w:t xml:space="preserve">, приводящая набор аргументов к общему типу.</w:t>
      </w:r>
    </w:p>
    <w:p>
      <w:pPr>
        <w:pStyle w:val="BodyText"/>
      </w:pPr>
      <w:r>
        <w:t xml:space="preserve">Интерактивная работа с Julia в этой лабораторной ведётся через Jupyter — пакет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регистрирует ядро Julia в Jupyter, после чего блокноты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можно выполнять как в Jupyter Notebook, так и в Jupyter Lab.</w:t>
      </w:r>
    </w:p>
    <w:bookmarkEnd w:id="31"/>
    <w:bookmarkStart w:id="32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выполнена в следующем окружении:</w:t>
      </w:r>
    </w:p>
    <w:p>
      <w:pPr>
        <w:pStyle w:val="Compact"/>
        <w:numPr>
          <w:ilvl w:val="0"/>
          <w:numId w:val="1002"/>
        </w:numPr>
      </w:pPr>
      <w:r>
        <w:t xml:space="preserve">ОС: WSL2 Ubuntu (Windows);</w:t>
      </w:r>
    </w:p>
    <w:p>
      <w:pPr>
        <w:pStyle w:val="Compact"/>
        <w:numPr>
          <w:ilvl w:val="0"/>
          <w:numId w:val="1002"/>
        </w:numPr>
      </w:pPr>
      <w:r>
        <w:t xml:space="preserve">Julia 1.10.5;</w:t>
      </w:r>
    </w:p>
    <w:p>
      <w:pPr>
        <w:pStyle w:val="Compact"/>
        <w:numPr>
          <w:ilvl w:val="0"/>
          <w:numId w:val="1002"/>
        </w:numPr>
      </w:pPr>
      <w:r>
        <w:t xml:space="preserve">Jupyter Lab 4.6.3, ядро IJulia 1.34.4;</w:t>
      </w:r>
    </w:p>
    <w:p>
      <w:pPr>
        <w:pStyle w:val="Compact"/>
        <w:numPr>
          <w:ilvl w:val="0"/>
          <w:numId w:val="1002"/>
        </w:numPr>
      </w:pPr>
      <w:r>
        <w:t xml:space="preserve">рабочее пространство организовано по шаблону курса (</w:t>
      </w:r>
      <w:r>
        <w:rPr>
          <w:rStyle w:val="VerbatimChar"/>
        </w:rPr>
        <w:t xml:space="preserve">course-directory-student-template</w:t>
      </w:r>
      <w:r>
        <w:t xml:space="preserve">), лабораторная — в ветке</w:t>
      </w:r>
      <w:r>
        <w:t xml:space="preserve"> </w:t>
      </w:r>
      <w:r>
        <w:rPr>
          <w:rStyle w:val="VerbatimChar"/>
        </w:rPr>
        <w:t xml:space="preserve">feature/lab01</w:t>
      </w:r>
      <w:r>
        <w:t xml:space="preserve"> </w:t>
      </w:r>
      <w:r>
        <w:t xml:space="preserve">git-репозитория</w:t>
      </w:r>
      <w:r>
        <w:t xml:space="preserve"> </w:t>
      </w:r>
      <w:r>
        <w:rPr>
          <w:rStyle w:val="VerbatimChar"/>
        </w:rPr>
        <w:t xml:space="preserve">2026-2--study--computer-practice</w:t>
      </w:r>
      <w:r>
        <w:t xml:space="preserve">.</w:t>
      </w:r>
    </w:p>
    <w:p>
      <w:pPr>
        <w:pStyle w:val="FirstParagraph"/>
      </w:pPr>
      <w:r>
        <w:t xml:space="preserve">Последовательность действий: проверка и установка недостающих компонентов (Julia уже был установлен ранее, дополнительно установлены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jupyterlab</w:t>
      </w:r>
      <w:r>
        <w:t xml:space="preserve">), запуск Jupyter Lab, создание блокнота</w:t>
      </w:r>
      <w:r>
        <w:t xml:space="preserve"> </w:t>
      </w:r>
      <w:r>
        <w:rPr>
          <w:rStyle w:val="VerbatimChar"/>
        </w:rPr>
        <w:t xml:space="preserve">intro-julia.ipynb</w:t>
      </w:r>
      <w:r>
        <w:t xml:space="preserve"> </w:t>
      </w:r>
      <w:r>
        <w:t xml:space="preserve">с ядром Julia 1.10, последовательное выполнение примеров и заданий с фиксацией результата скриншотом.</w:t>
      </w:r>
    </w:p>
    <w:bookmarkEnd w:id="32"/>
    <w:bookmarkStart w:id="18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3" w:name="подготовка-инструментария-к-работе"/>
    <w:p>
      <w:pPr>
        <w:pStyle w:val="Heading2"/>
      </w:pPr>
      <w:r>
        <w:t xml:space="preserve">4.1 Подготовка инструментария к работе</w:t>
      </w:r>
    </w:p>
    <w:p>
      <w:pPr>
        <w:pStyle w:val="FirstParagraph"/>
      </w:pPr>
      <w:r>
        <w:t xml:space="preserve">Проверены версии уже установленных компонентов (рис. -</w:t>
      </w:r>
      <w:hyperlink w:anchor="fig-001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4800600" cy="150622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06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версий Julia и Jupyter</w:t>
            </w:r>
          </w:p>
          <w:bookmarkEnd w:id="36"/>
        </w:tc>
      </w:tr>
    </w:tbl>
    <w:p>
      <w:pPr>
        <w:pStyle w:val="BodyText"/>
      </w:pPr>
      <w:r>
        <w:t xml:space="preserve">Установлен пакет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 добавляющий ядро Julia в Jupyter (рис. -</w:t>
      </w:r>
      <w:hyperlink w:anchor="fig-002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2"/>
          <w:p>
            <w:pPr>
              <w:pStyle w:val="Compact"/>
              <w:jc w:val="center"/>
            </w:pPr>
            <w:r>
              <w:drawing>
                <wp:inline>
                  <wp:extent cx="4800600" cy="194328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43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пакета IJulia через Pkg</w:t>
            </w:r>
          </w:p>
          <w:bookmarkEnd w:id="40"/>
        </w:tc>
      </w:tr>
    </w:tbl>
    <w:p>
      <w:pPr>
        <w:pStyle w:val="BodyText"/>
      </w:pPr>
      <w:r>
        <w:t xml:space="preserve">Jupyter Lab отсутствовал (был только классический</w:t>
      </w:r>
      <w:r>
        <w:t xml:space="preserve"> </w:t>
      </w:r>
      <w:r>
        <w:rPr>
          <w:rStyle w:val="VerbatimChar"/>
        </w:rPr>
        <w:t xml:space="preserve">notebook</w:t>
      </w:r>
      <w:r>
        <w:t xml:space="preserve">), поэтому установлен отдельно через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с флагом</w:t>
      </w:r>
      <w:r>
        <w:t xml:space="preserve"> </w:t>
      </w:r>
      <w:r>
        <w:rPr>
          <w:rStyle w:val="VerbatimChar"/>
        </w:rPr>
        <w:t xml:space="preserve">--break-system-packages</w:t>
      </w:r>
      <w:r>
        <w:t xml:space="preserve"> </w:t>
      </w:r>
      <w:r>
        <w:t xml:space="preserve">(рис. -</w:t>
      </w:r>
      <w:hyperlink w:anchor="fig-003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3"/>
          <w:p>
            <w:pPr>
              <w:pStyle w:val="Compact"/>
              <w:jc w:val="center"/>
            </w:pPr>
            <w:r>
              <w:drawing>
                <wp:inline>
                  <wp:extent cx="4800600" cy="208604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86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Jupyter Lab</w:t>
            </w:r>
          </w:p>
          <w:bookmarkEnd w:id="44"/>
        </w:tc>
      </w:tr>
    </w:tbl>
    <w:p>
      <w:pPr>
        <w:pStyle w:val="BodyText"/>
      </w:pPr>
      <w:r>
        <w:t xml:space="preserve">Создан каталог для проекта лабораторной внутри репозитория курса (рис. -</w:t>
      </w:r>
      <w:hyperlink w:anchor="fig-004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4"/>
          <w:p>
            <w:pPr>
              <w:pStyle w:val="Compact"/>
              <w:jc w:val="center"/>
            </w:pPr>
            <w:r>
              <w:drawing>
                <wp:inline>
                  <wp:extent cx="4800600" cy="1897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9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каталога labs/lab01/project</w:t>
            </w:r>
          </w:p>
          <w:bookmarkEnd w:id="48"/>
        </w:tc>
      </w:tr>
    </w:tbl>
    <w:p>
      <w:pPr>
        <w:pStyle w:val="BodyText"/>
      </w:pPr>
      <w:r>
        <w:t xml:space="preserve">После добавления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Jupyter Lab успешно запущен (рис. -</w:t>
      </w:r>
      <w:hyperlink w:anchor="fig-005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5"/>
          <w:p>
            <w:pPr>
              <w:pStyle w:val="Compact"/>
              <w:jc w:val="center"/>
            </w:pPr>
            <w:r>
              <w:drawing>
                <wp:inline>
                  <wp:extent cx="4800600" cy="191869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18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Jupyter Lab</w:t>
            </w:r>
          </w:p>
          <w:bookmarkEnd w:id="52"/>
        </w:tc>
      </w:tr>
    </w:tbl>
    <w:bookmarkEnd w:id="53"/>
    <w:bookmarkStart w:id="110" w:name="X6cfd72a078e6780852ec24f9efd35b986df7f7d"/>
    <w:p>
      <w:pPr>
        <w:pStyle w:val="Heading2"/>
      </w:pPr>
      <w:r>
        <w:t xml:space="preserve">4.2 Основы синтаксиса Julia (примеры раздела 1.3.3)</w:t>
      </w:r>
    </w:p>
    <w:p>
      <w:pPr>
        <w:pStyle w:val="FirstParagraph"/>
      </w:pPr>
      <w:r>
        <w:t xml:space="preserve">В блокноте</w:t>
      </w:r>
      <w:r>
        <w:t xml:space="preserve"> </w:t>
      </w:r>
      <w:r>
        <w:rPr>
          <w:rStyle w:val="VerbatimChar"/>
        </w:rPr>
        <w:t xml:space="preserve">intro-julia.ipynb</w:t>
      </w:r>
      <w:r>
        <w:t xml:space="preserve"> </w:t>
      </w:r>
      <w:r>
        <w:t xml:space="preserve">с ядром Julia 1.10 последовательно выполнены примеры из методических указаний.</w:t>
      </w:r>
    </w:p>
    <w:p>
      <w:pPr>
        <w:pStyle w:val="BodyText"/>
      </w:pPr>
      <w:r>
        <w:t xml:space="preserve">Определение типа числовой величины для целого, вещественного, комплексного числа и результата операции даёт ожидаемые типы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Complex{Float64}</w:t>
      </w:r>
      <w:r>
        <w:t xml:space="preserve">,</w:t>
      </w:r>
      <w:r>
        <w:t xml:space="preserve"> </w:t>
      </w:r>
      <w:r>
        <w:rPr>
          <w:rStyle w:val="VerbatimChar"/>
        </w:rPr>
        <w:t xml:space="preserve">Irrational</w:t>
      </w:r>
      <w:r>
        <w:t xml:space="preserve"> </w:t>
      </w:r>
      <w:r>
        <w:t xml:space="preserve">(рис. -</w:t>
      </w:r>
      <w:hyperlink w:anchor="fig-006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6"/>
          <w:p>
            <w:pPr>
              <w:pStyle w:val="Compact"/>
              <w:jc w:val="center"/>
            </w:pPr>
            <w:r>
              <w:drawing>
                <wp:inline>
                  <wp:extent cx="4800600" cy="93485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34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Определение типа числовых величин</w:t>
            </w:r>
          </w:p>
          <w:bookmarkEnd w:id="57"/>
        </w:tc>
      </w:tr>
    </w:tbl>
    <w:p>
      <w:pPr>
        <w:pStyle w:val="BodyText"/>
      </w:pPr>
      <w:r>
        <w:t xml:space="preserve">Деление на ноль для вещественных чисел даёт специальные значения</w:t>
      </w:r>
      <w:r>
        <w:t xml:space="preserve"> </w:t>
      </w:r>
      <w:r>
        <w:rPr>
          <w:rStyle w:val="VerbatimChar"/>
        </w:rPr>
        <w:t xml:space="preserve">Inf</w:t>
      </w:r>
      <w:r>
        <w:t xml:space="preserve">,</w:t>
      </w:r>
      <w:r>
        <w:t xml:space="preserve"> </w:t>
      </w:r>
      <w:r>
        <w:rPr>
          <w:rStyle w:val="VerbatimChar"/>
        </w:rPr>
        <w:t xml:space="preserve">-Inf</w:t>
      </w:r>
      <w:r>
        <w:t xml:space="preserve">,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(рис. -</w:t>
      </w:r>
      <w:hyperlink w:anchor="fig-007">
        <w:r>
          <w:rPr>
            <w:rStyle w:val="Hyperlink"/>
          </w:rPr>
          <w:t xml:space="preserve">Рисунок 8</w:t>
        </w:r>
      </w:hyperlink>
      <w:r>
        <w:t xml:space="preserve">), которые имеют тип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7"/>
          <w:p>
            <w:pPr>
              <w:pStyle w:val="Compact"/>
              <w:jc w:val="center"/>
            </w:pPr>
            <w:r>
              <w:drawing>
                <wp:inline>
                  <wp:extent cx="4800600" cy="61967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19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Специальные значения Inf, -Inf, NaN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8"/>
          <w:p>
            <w:pPr>
              <w:pStyle w:val="Compact"/>
              <w:jc w:val="center"/>
            </w:pPr>
            <w:r>
              <w:drawing>
                <wp:inline>
                  <wp:extent cx="4800600" cy="81712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17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Тип специальных значений</w:t>
            </w:r>
          </w:p>
          <w:bookmarkEnd w:id="65"/>
        </w:tc>
      </w:tr>
    </w:tbl>
    <w:p>
      <w:pPr>
        <w:pStyle w:val="BodyText"/>
      </w:pPr>
      <w:r>
        <w:t xml:space="preserve">Цикл по всем целочисленным типам выводит границы их диапазонов (рис. -</w:t>
      </w:r>
      <w:hyperlink w:anchor="fig-009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9"/>
          <w:p>
            <w:pPr>
              <w:pStyle w:val="Compact"/>
              <w:jc w:val="center"/>
            </w:pPr>
            <w:r>
              <w:drawing>
                <wp:inline>
                  <wp:extent cx="4800600" cy="158125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81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Диапазоны целочисленных типов</w:t>
            </w:r>
          </w:p>
          <w:bookmarkEnd w:id="69"/>
        </w:tc>
      </w:tr>
    </w:tbl>
    <w:p>
      <w:pPr>
        <w:pStyle w:val="BodyText"/>
      </w:pPr>
      <w:r>
        <w:t xml:space="preserve">Прямое преобразование типов конструкторами</w:t>
      </w:r>
      <w:r>
        <w:t xml:space="preserve"> </w:t>
      </w:r>
      <w:r>
        <w:rPr>
          <w:rStyle w:val="VerbatimChar"/>
        </w:rPr>
        <w:t xml:space="preserve">Int64()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Char()</w:t>
      </w:r>
      <w:r>
        <w:t xml:space="preserve"> </w:t>
      </w:r>
      <w:r>
        <w:t xml:space="preserve">(рис. -</w:t>
      </w:r>
      <w:hyperlink w:anchor="fig-010">
        <w:r>
          <w:rPr>
            <w:rStyle w:val="Hyperlink"/>
          </w:rPr>
          <w:t xml:space="preserve">Рисунок 11</w:t>
        </w:r>
      </w:hyperlink>
      <w:r>
        <w:t xml:space="preserve">) и эквивалентное преобразование через</w:t>
      </w:r>
      <w:r>
        <w:t xml:space="preserve"> </w:t>
      </w:r>
      <w:r>
        <w:rPr>
          <w:rStyle w:val="VerbatimChar"/>
        </w:rPr>
        <w:t xml:space="preserve">convert()</w:t>
      </w:r>
      <w:r>
        <w:t xml:space="preserve"> </w:t>
      </w:r>
      <w:r>
        <w:t xml:space="preserve">(рис. -</w:t>
      </w:r>
      <w:hyperlink w:anchor="fig-011">
        <w:r>
          <w:rPr>
            <w:rStyle w:val="Hyperlink"/>
          </w:rPr>
          <w:t xml:space="preserve">Рисунок 12</w:t>
        </w:r>
      </w:hyperlink>
      <w:r>
        <w:t xml:space="preserve">) дают одинаковый результат.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0"/>
          <w:p>
            <w:pPr>
              <w:pStyle w:val="Compact"/>
              <w:jc w:val="center"/>
            </w:pPr>
            <w:r>
              <w:drawing>
                <wp:inline>
                  <wp:extent cx="3551722" cy="84702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1722" cy="847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Преобразование типов конструкторами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r>
              <w:drawing>
                <wp:inline>
                  <wp:extent cx="4254366" cy="87589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366" cy="875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Преобразование типов через convert()</w:t>
            </w:r>
          </w:p>
          <w:bookmarkEnd w:id="77"/>
        </w:tc>
      </w:tr>
    </w:tbl>
    <w:p>
      <w:pPr>
        <w:pStyle w:val="BodyText"/>
      </w:pPr>
      <w:r>
        <w:t xml:space="preserve">Преобразование числовых значений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в булев тип (рис. -</w:t>
      </w:r>
      <w:hyperlink w:anchor="fig-012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2"/>
          <w:p>
            <w:pPr>
              <w:pStyle w:val="Compact"/>
              <w:jc w:val="center"/>
            </w:pPr>
            <w:r>
              <w:drawing>
                <wp:inline>
                  <wp:extent cx="3532471" cy="84702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2471" cy="847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Преобразование в Bool</w:t>
            </w:r>
          </w:p>
          <w:bookmarkEnd w:id="81"/>
        </w:tc>
      </w:tr>
    </w:tbl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promote()</w:t>
      </w:r>
      <w:r>
        <w:t xml:space="preserve"> </w:t>
      </w:r>
      <w:r>
        <w:t xml:space="preserve">приводит аргументы разных числовых типов (</w:t>
      </w:r>
      <w:r>
        <w:rPr>
          <w:rStyle w:val="VerbatimChar"/>
        </w:rPr>
        <w:t xml:space="preserve">Int8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Float16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) к общему типу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(рис. -</w:t>
      </w:r>
      <w:hyperlink w:anchor="fig-013">
        <w:r>
          <w:rPr>
            <w:rStyle w:val="Hyperlink"/>
          </w:rPr>
          <w:t xml:space="preserve">Рисунок 14</w:t>
        </w:r>
      </w:hyperlink>
      <w:r>
        <w:t xml:space="preserve">), что подтверждается функцией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 </w:t>
      </w:r>
      <w:r>
        <w:t xml:space="preserve">(рис. -</w:t>
      </w:r>
      <w:hyperlink w:anchor="fig-014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3"/>
          <w:p>
            <w:pPr>
              <w:pStyle w:val="Compact"/>
              <w:jc w:val="center"/>
            </w:pPr>
            <w:r>
              <w:drawing>
                <wp:inline>
                  <wp:extent cx="4600875" cy="82777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875" cy="827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Приведение аргументов к общему типу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4"/>
          <w:p>
            <w:pPr>
              <w:pStyle w:val="Compact"/>
              <w:jc w:val="center"/>
            </w:pPr>
            <w:r>
              <w:drawing>
                <wp:inline>
                  <wp:extent cx="4800600" cy="78289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82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Тип результата promote()</w:t>
            </w:r>
          </w:p>
          <w:bookmarkEnd w:id="89"/>
        </w:tc>
      </w:tr>
    </w:tbl>
    <w:p>
      <w:pPr>
        <w:pStyle w:val="BodyText"/>
      </w:pPr>
      <w:r>
        <w:t xml:space="preserve">Определение функции полной формой (</w:t>
      </w:r>
      <w:r>
        <w:rPr>
          <w:rStyle w:val="VerbatimChar"/>
        </w:rPr>
        <w:t xml:space="preserve">function ... end</w:t>
      </w:r>
      <w:r>
        <w:t xml:space="preserve">) на примере возведения в квадрат (рис. -</w:t>
      </w:r>
      <w:hyperlink w:anchor="fig-015">
        <w:r>
          <w:rPr>
            <w:rStyle w:val="Hyperlink"/>
          </w:rPr>
          <w:t xml:space="preserve">Рисунок 16</w:t>
        </w:r>
      </w:hyperlink>
      <w:r>
        <w:t xml:space="preserve">) и краткой однострочной формой (рис. -</w:t>
      </w:r>
      <w:hyperlink w:anchor="fig-016">
        <w:r>
          <w:rPr>
            <w:rStyle w:val="Hyperlink"/>
          </w:rPr>
          <w:t xml:space="preserve">Рисунок 17</w:t>
        </w:r>
      </w:hyperlink>
      <w:r>
        <w:t xml:space="preserve">) дают одинаковый результат.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5"/>
          <w:p>
            <w:pPr>
              <w:pStyle w:val="Compact"/>
              <w:jc w:val="center"/>
            </w:pPr>
            <w:r>
              <w:drawing>
                <wp:inline>
                  <wp:extent cx="3378467" cy="139566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467" cy="1395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Функция в полной форме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6"/>
          <w:p>
            <w:pPr>
              <w:pStyle w:val="Compact"/>
              <w:jc w:val="center"/>
            </w:pPr>
            <w:r>
              <w:drawing>
                <wp:inline>
                  <wp:extent cx="2435191" cy="102990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191" cy="1029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Функция в краткой форме</w:t>
            </w:r>
          </w:p>
          <w:bookmarkEnd w:id="97"/>
        </w:tc>
      </w:tr>
    </w:tbl>
    <w:p>
      <w:pPr>
        <w:pStyle w:val="BodyText"/>
      </w:pPr>
      <w:r>
        <w:t xml:space="preserve">Определение одномерных массивов — вектора-строки и вектора-столбца — и обращение к их элементам по индексу (рис. -</w:t>
      </w:r>
      <w:hyperlink w:anchor="fig-017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7"/>
          <w:p>
            <w:pPr>
              <w:pStyle w:val="Compact"/>
              <w:jc w:val="center"/>
            </w:pPr>
            <w:r>
              <w:drawing>
                <wp:inline>
                  <wp:extent cx="3253338" cy="126090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338" cy="1260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Векторы и обращение к элементам</w:t>
            </w:r>
          </w:p>
          <w:bookmarkEnd w:id="101"/>
        </w:tc>
      </w:tr>
    </w:tbl>
    <w:p>
      <w:pPr>
        <w:pStyle w:val="BodyText"/>
      </w:pPr>
      <w:r>
        <w:t xml:space="preserve">Определение двумерного массива (матрицы) и обращение к её элементам по паре индексов (рис. -</w:t>
      </w:r>
      <w:hyperlink w:anchor="fig-018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8"/>
          <w:p>
            <w:pPr>
              <w:pStyle w:val="Compact"/>
              <w:jc w:val="center"/>
            </w:pPr>
            <w:r>
              <w:drawing>
                <wp:inline>
                  <wp:extent cx="3984858" cy="123203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4858" cy="1232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Матрица и обращение к элементам</w:t>
            </w:r>
          </w:p>
          <w:bookmarkEnd w:id="105"/>
        </w:tc>
      </w:tr>
    </w:tbl>
    <w:p>
      <w:pPr>
        <w:pStyle w:val="BodyText"/>
      </w:pPr>
      <w:r>
        <w:t xml:space="preserve">Умножение вектора-строки на матрицу и на транспонированный вектор-столбец (рис. -</w:t>
      </w:r>
      <w:hyperlink w:anchor="fig-019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9"/>
          <w:p>
            <w:pPr>
              <w:pStyle w:val="Compact"/>
              <w:jc w:val="center"/>
            </w:pPr>
            <w:r>
              <w:drawing>
                <wp:inline>
                  <wp:extent cx="3821229" cy="133791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1229" cy="1337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Операция с транспонированием вектора</w:t>
            </w:r>
          </w:p>
          <w:bookmarkEnd w:id="109"/>
        </w:tc>
      </w:tr>
    </w:tbl>
    <w:bookmarkEnd w:id="110"/>
    <w:bookmarkStart w:id="187" w:name="Xf11f314a4d68a3cba1bc603bd8aae8e29491365"/>
    <w:p>
      <w:pPr>
        <w:pStyle w:val="Heading2"/>
      </w:pPr>
      <w:r>
        <w:t xml:space="preserve">4.3 Задания для самостоятельной работы (раздел 1.3.4)</w:t>
      </w:r>
    </w:p>
    <w:bookmarkStart w:id="127" w:name="X049cefaa4efefdebb768a391b882a43e0174788"/>
    <w:p>
      <w:pPr>
        <w:pStyle w:val="Heading3"/>
      </w:pPr>
      <w:r>
        <w:t xml:space="preserve">4.3.1 Задание 1. Функции чтения/записи/вывода информации</w:t>
      </w:r>
    </w:p>
    <w:p>
      <w:pPr>
        <w:pStyle w:val="FirstParagraph"/>
      </w:pPr>
      <w:r>
        <w:t xml:space="preserve">Сравнение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показывает разницу в оформлении вывода: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/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выводят строку как есть, а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— в «программном» виде (строка в кавычках), что видно на примере с текстом «текст с кавычками» (рис. -</w:t>
      </w:r>
      <w:hyperlink w:anchor="fig-020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0"/>
          <w:p>
            <w:pPr>
              <w:pStyle w:val="Compact"/>
              <w:jc w:val="center"/>
            </w:pPr>
            <w:r>
              <w:drawing>
                <wp:inline>
                  <wp:extent cx="4090736" cy="238706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736" cy="2387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print, println и show</w:t>
            </w:r>
          </w:p>
          <w:bookmarkEnd w:id="114"/>
        </w:tc>
      </w:tr>
    </w:tbl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записывает строку как байты в поток — в примере в буфер</w:t>
      </w:r>
      <w:r>
        <w:t xml:space="preserve"> </w:t>
      </w:r>
      <w:r>
        <w:rPr>
          <w:rStyle w:val="VerbatimChar"/>
        </w:rPr>
        <w:t xml:space="preserve">IOBuffer</w:t>
      </w:r>
      <w:r>
        <w:t xml:space="preserve">, при этом возвращает число записанных байт (рис. -</w:t>
      </w:r>
      <w:hyperlink w:anchor="fig-021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1"/>
          <w:p>
            <w:pPr>
              <w:pStyle w:val="Compact"/>
              <w:jc w:val="center"/>
            </w:pPr>
            <w:r>
              <w:drawing>
                <wp:inline>
                  <wp:extent cx="3927107" cy="165554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7107" cy="1655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write() в буфер</w:t>
            </w:r>
          </w:p>
          <w:bookmarkEnd w:id="118"/>
        </w:tc>
      </w:tr>
    </w:tbl>
    <w:p>
      <w:pPr>
        <w:pStyle w:val="BodyText"/>
      </w:pPr>
      <w:r>
        <w:t xml:space="preserve">Файл записан построчно через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, после чего продемонстрирована разница между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(весь файл одной строкой),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(только первая строка потока) и</w:t>
      </w:r>
      <w:r>
        <w:t xml:space="preserve"> </w:t>
      </w:r>
      <w:r>
        <w:rPr>
          <w:rStyle w:val="VerbatimChar"/>
        </w:rPr>
        <w:t xml:space="preserve">readlines()</w:t>
      </w:r>
      <w:r>
        <w:t xml:space="preserve"> </w:t>
      </w:r>
      <w:r>
        <w:t xml:space="preserve">(вектор всех строк) (рис. -</w:t>
      </w:r>
      <w:hyperlink w:anchor="fig-022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2"/>
          <w:p>
            <w:pPr>
              <w:pStyle w:val="Compact"/>
              <w:jc w:val="center"/>
            </w:pPr>
            <w:r>
              <w:drawing>
                <wp:inline>
                  <wp:extent cx="4800600" cy="4785188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85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read(), readline(), readlines()</w:t>
            </w:r>
          </w:p>
          <w:bookmarkEnd w:id="122"/>
        </w:tc>
      </w:tr>
    </w:tbl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readdlm()</w:t>
      </w:r>
      <w:r>
        <w:t xml:space="preserve"> </w:t>
      </w:r>
      <w:r>
        <w:t xml:space="preserve">из стандартного пакета</w:t>
      </w:r>
      <w:r>
        <w:t xml:space="preserve"> </w:t>
      </w:r>
      <w:r>
        <w:rPr>
          <w:rStyle w:val="VerbatimChar"/>
        </w:rPr>
        <w:t xml:space="preserve">DelimitedFiles</w:t>
      </w:r>
      <w:r>
        <w:t xml:space="preserve"> </w:t>
      </w:r>
      <w:r>
        <w:t xml:space="preserve">разбирает файл с разделителем-запятой в числовую матрицу (рис. -</w:t>
      </w:r>
      <w:hyperlink w:anchor="fig-023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3"/>
          <w:p>
            <w:pPr>
              <w:pStyle w:val="Compact"/>
              <w:jc w:val="center"/>
            </w:pPr>
            <w:r>
              <w:drawing>
                <wp:inline>
                  <wp:extent cx="4543124" cy="2675823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124" cy="2675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readdlm() для табличных данных</w:t>
            </w:r>
          </w:p>
          <w:bookmarkEnd w:id="126"/>
        </w:tc>
      </w:tr>
    </w:tbl>
    <w:bookmarkEnd w:id="127"/>
    <w:bookmarkStart w:id="140" w:name="задание-2.-функция-parse"/>
    <w:p>
      <w:pPr>
        <w:pStyle w:val="Heading3"/>
      </w:pPr>
      <w:r>
        <w:t xml:space="preserve">4.3.2 Задание 2. Функция parse()</w:t>
      </w:r>
    </w:p>
    <w:p>
      <w:pPr>
        <w:pStyle w:val="FirstParagraph"/>
      </w:pPr>
      <w:r>
        <w:t xml:space="preserve">Базовое использование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для получения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из строк (рис. -</w:t>
      </w:r>
      <w:hyperlink w:anchor="fig-024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4"/>
          <w:p>
            <w:pPr>
              <w:pStyle w:val="Compact"/>
              <w:jc w:val="center"/>
            </w:pPr>
            <w:r>
              <w:drawing>
                <wp:inline>
                  <wp:extent cx="4800600" cy="681473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81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parse() для базовых типов</w:t>
            </w:r>
          </w:p>
          <w:bookmarkEnd w:id="131"/>
        </w:tc>
      </w:tr>
    </w:tbl>
    <w:p>
      <w:pPr>
        <w:pStyle w:val="BodyText"/>
      </w:pPr>
      <w:r>
        <w:t xml:space="preserve">Именованный аргумент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позволяет разбирать строку в заданной системе счисления — двоичной и шестнадцатеричной (рис. -</w:t>
      </w:r>
      <w:hyperlink w:anchor="fig-025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5"/>
          <w:p>
            <w:pPr>
              <w:pStyle w:val="Compact"/>
              <w:jc w:val="center"/>
            </w:pPr>
            <w:r>
              <w:drawing>
                <wp:inline>
                  <wp:extent cx="4800600" cy="75932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parse() с указанием системы счисления</w:t>
            </w:r>
          </w:p>
          <w:bookmarkEnd w:id="135"/>
        </w:tc>
      </w:tr>
    </w:tbl>
    <w:p>
      <w:pPr>
        <w:pStyle w:val="BodyText"/>
      </w:pPr>
      <w:r>
        <w:rPr>
          <w:rStyle w:val="VerbatimChar"/>
        </w:rPr>
        <w:t xml:space="preserve">tryparse()</w:t>
      </w:r>
      <w:r>
        <w:t xml:space="preserve"> </w:t>
      </w:r>
      <w:r>
        <w:t xml:space="preserve">— безопасный аналог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: при невозможности разбора возвращает</w:t>
      </w:r>
      <w:r>
        <w:t xml:space="preserve"> </w:t>
      </w:r>
      <w:r>
        <w:rPr>
          <w:rStyle w:val="VerbatimChar"/>
        </w:rPr>
        <w:t xml:space="preserve">nothing</w:t>
      </w:r>
      <w:r>
        <w:t xml:space="preserve"> </w:t>
      </w:r>
      <w:r>
        <w:t xml:space="preserve">вместо исключения (рис. -</w:t>
      </w:r>
      <w:hyperlink w:anchor="fig-026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6"/>
          <w:p>
            <w:pPr>
              <w:pStyle w:val="Compact"/>
              <w:jc w:val="center"/>
            </w:pPr>
            <w:r>
              <w:drawing>
                <wp:inline>
                  <wp:extent cx="4677877" cy="760395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7877" cy="760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tryparse()</w:t>
            </w:r>
          </w:p>
          <w:bookmarkEnd w:id="139"/>
        </w:tc>
      </w:tr>
    </w:tbl>
    <w:bookmarkEnd w:id="140"/>
    <w:bookmarkStart w:id="165" w:name="X2e092751b79ab4931d44939df2e1cc1ba6bc63c"/>
    <w:p>
      <w:pPr>
        <w:pStyle w:val="Heading3"/>
      </w:pPr>
      <w:r>
        <w:t xml:space="preserve">4.3.3 Задание 3. Базовые математические операции с разными типами</w:t>
      </w:r>
    </w:p>
    <w:p>
      <w:pPr>
        <w:pStyle w:val="FirstParagraph"/>
      </w:pPr>
      <w:r>
        <w:t xml:space="preserve">При смешении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результат автоматически приводится к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 а</w:t>
      </w:r>
      <w:r>
        <w:t xml:space="preserve"> </w:t>
      </w:r>
      <w:r>
        <w:rPr>
          <w:rStyle w:val="VerbatimChar"/>
        </w:rPr>
        <w:t xml:space="preserve">Rational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5//2</w:t>
      </w:r>
      <w:r>
        <w:t xml:space="preserve">) сохраняет свой тип, пока в выражении не появится вещественное число (рис. -</w:t>
      </w:r>
      <w:hyperlink w:anchor="fig-027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27"/>
          <w:p>
            <w:pPr>
              <w:pStyle w:val="Compact"/>
              <w:jc w:val="center"/>
            </w:pPr>
            <w:r>
              <w:drawing>
                <wp:inline>
                  <wp:extent cx="3965608" cy="721894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5608" cy="721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Арифметика со смешанными типами</w:t>
            </w:r>
          </w:p>
          <w:bookmarkEnd w:id="144"/>
        </w:tc>
      </w:tr>
    </w:tbl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всегда возвращает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÷</w:t>
      </w:r>
      <w:r>
        <w:t xml:space="preserve"> </w:t>
      </w:r>
      <w:r>
        <w:t xml:space="preserve">выполняет целочисленное деление,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— вычисляет остаток (рис. -</w:t>
      </w:r>
      <w:hyperlink w:anchor="fig-028">
        <w:r>
          <w:rPr>
            <w:rStyle w:val="Hyperlink"/>
          </w:rPr>
          <w:t xml:space="preserve">Рисунок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28"/>
          <w:p>
            <w:pPr>
              <w:pStyle w:val="Compact"/>
              <w:jc w:val="center"/>
            </w:pPr>
            <w:r>
              <w:drawing>
                <wp:inline>
                  <wp:extent cx="2743200" cy="837397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837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Операторы деления и остатка</w:t>
            </w:r>
          </w:p>
          <w:bookmarkEnd w:id="148"/>
        </w:tc>
      </w:tr>
    </w:tbl>
    <w:p>
      <w:pPr>
        <w:pStyle w:val="BodyText"/>
      </w:pPr>
      <w:r>
        <w:t xml:space="preserve">Возведение в степень (</w:t>
      </w:r>
      <w:r>
        <w:rPr>
          <w:rStyle w:val="VerbatimChar"/>
        </w:rPr>
        <w:t xml:space="preserve">^</w:t>
      </w:r>
      <w:r>
        <w:t xml:space="preserve">) и извлечение корней (</w:t>
      </w:r>
      <w:r>
        <w:rPr>
          <w:rStyle w:val="VerbatimChar"/>
        </w:rPr>
        <w:t xml:space="preserve">sqrt</w:t>
      </w:r>
      <w:r>
        <w:t xml:space="preserve">,</w:t>
      </w:r>
      <w:r>
        <w:t xml:space="preserve"> </w:t>
      </w:r>
      <w:r>
        <w:rPr>
          <w:rStyle w:val="VerbatimChar"/>
        </w:rPr>
        <w:t xml:space="preserve">cbrt</w:t>
      </w:r>
      <w:r>
        <w:t xml:space="preserve">) на примере степени 0.5 как альтернативы</w:t>
      </w:r>
      <w:r>
        <w:t xml:space="preserve"> </w:t>
      </w:r>
      <w:r>
        <w:rPr>
          <w:rStyle w:val="VerbatimChar"/>
        </w:rPr>
        <w:t xml:space="preserve">sqrt()</w:t>
      </w:r>
      <w:r>
        <w:t xml:space="preserve"> </w:t>
      </w:r>
      <w:r>
        <w:t xml:space="preserve">(рис. -</w:t>
      </w:r>
      <w:hyperlink w:anchor="fig-029">
        <w:r>
          <w:rPr>
            <w:rStyle w:val="Hyperlink"/>
          </w:rPr>
          <w:t xml:space="preserve">Рисунок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29"/>
          <w:p>
            <w:pPr>
              <w:pStyle w:val="Compact"/>
              <w:jc w:val="center"/>
            </w:pPr>
            <w:r>
              <w:drawing>
                <wp:inline>
                  <wp:extent cx="3416968" cy="866273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968" cy="866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Степени и корни</w:t>
            </w:r>
          </w:p>
          <w:bookmarkEnd w:id="152"/>
        </w:tc>
      </w:tr>
    </w:tbl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сравнивает значения независимо от типа,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— дополнительно сравнивает тип, а сравнения можно объединять в цепочку (рис. -</w:t>
      </w:r>
      <w:hyperlink w:anchor="fig-030">
        <w:r>
          <w:rPr>
            <w:rStyle w:val="Hyperlink"/>
          </w:rPr>
          <w:t xml:space="preserve">Рисунок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0"/>
          <w:p>
            <w:pPr>
              <w:pStyle w:val="Compact"/>
              <w:jc w:val="center"/>
            </w:pPr>
            <w:r>
              <w:drawing>
                <wp:inline>
                  <wp:extent cx="3542096" cy="779646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2096" cy="779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Сравнение значений и типов</w:t>
            </w:r>
          </w:p>
          <w:bookmarkEnd w:id="156"/>
        </w:tc>
      </w:tr>
    </w:tbl>
    <w:p>
      <w:pPr>
        <w:pStyle w:val="BodyText"/>
      </w:pPr>
      <w:r>
        <w:t xml:space="preserve">Логические операции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xor()</w:t>
      </w:r>
      <w:r>
        <w:t xml:space="preserve"> </w:t>
      </w:r>
      <w:r>
        <w:t xml:space="preserve">(рис. -</w:t>
      </w:r>
      <w:hyperlink w:anchor="fig-031">
        <w:r>
          <w:rPr>
            <w:rStyle w:val="Hyperlink"/>
          </w:rPr>
          <w:t xml:space="preserve">Рисунок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1"/>
          <w:p>
            <w:pPr>
              <w:pStyle w:val="Compact"/>
              <w:jc w:val="center"/>
            </w:pPr>
            <w:r>
              <w:drawing>
                <wp:inline>
                  <wp:extent cx="4800600" cy="759807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9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Логические операции</w:t>
            </w:r>
          </w:p>
          <w:bookmarkEnd w:id="160"/>
        </w:tc>
      </w:tr>
    </w:tbl>
    <w:p>
      <w:pPr>
        <w:pStyle w:val="BodyText"/>
      </w:pPr>
      <w:r>
        <w:t xml:space="preserve">Арифметика с комплексными числами: сложение, умножение и вычисление модуля (рис. -</w:t>
      </w:r>
      <w:hyperlink w:anchor="fig-032">
        <w:r>
          <w:rPr>
            <w:rStyle w:val="Hyperlink"/>
          </w:rPr>
          <w:t xml:space="preserve">Рисунок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2"/>
          <w:p>
            <w:pPr>
              <w:pStyle w:val="Compact"/>
              <w:jc w:val="center"/>
            </w:pPr>
            <w:r>
              <w:drawing>
                <wp:inline>
                  <wp:extent cx="4800600" cy="798604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98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Операции с комплексными числами</w:t>
            </w:r>
          </w:p>
          <w:bookmarkEnd w:id="164"/>
        </w:tc>
      </w:tr>
    </w:tbl>
    <w:bookmarkEnd w:id="165"/>
    <w:bookmarkStart w:id="186" w:name="X36d9280efc7b34831d9cb21dac87537aa4150c7"/>
    <w:p>
      <w:pPr>
        <w:pStyle w:val="Heading3"/>
      </w:pPr>
      <w:r>
        <w:t xml:space="preserve">4.3.4 Задание 4. Операции над матрицами и векторами</w:t>
      </w:r>
    </w:p>
    <w:p>
      <w:pPr>
        <w:pStyle w:val="FirstParagraph"/>
      </w:pPr>
      <w:r>
        <w:t xml:space="preserve">Поэлементное сложение, вычитание векторов и умножение вектора на скаляр (рис. -</w:t>
      </w:r>
      <w:hyperlink w:anchor="fig-033">
        <w:r>
          <w:rPr>
            <w:rStyle w:val="Hyperlink"/>
          </w:rPr>
          <w:t xml:space="preserve">Рисунок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033"/>
          <w:p>
            <w:pPr>
              <w:pStyle w:val="Compact"/>
              <w:jc w:val="center"/>
            </w:pPr>
            <w:r>
              <w:drawing>
                <wp:inline>
                  <wp:extent cx="4235115" cy="1405288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115" cy="1405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Операции над векторами</w:t>
            </w:r>
          </w:p>
          <w:bookmarkEnd w:id="169"/>
        </w:tc>
      </w:tr>
    </w:tbl>
    <w:p>
      <w:pPr>
        <w:pStyle w:val="BodyText"/>
      </w:pPr>
      <w:r>
        <w:t xml:space="preserve">Скалярное произведение векторов вычислено двумя способами: функцией</w:t>
      </w:r>
      <w:r>
        <w:t xml:space="preserve"> </w:t>
      </w:r>
      <w:r>
        <w:rPr>
          <w:rStyle w:val="VerbatimChar"/>
        </w:rPr>
        <w:t xml:space="preserve">dot()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и через умножение транспонированного вектора на вектор (рис. -</w:t>
      </w:r>
      <w:hyperlink w:anchor="fig-034">
        <w:r>
          <w:rPr>
            <w:rStyle w:val="Hyperlink"/>
          </w:rPr>
          <w:t xml:space="preserve">Рисунок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034"/>
          <w:p>
            <w:pPr>
              <w:pStyle w:val="Compact"/>
              <w:jc w:val="center"/>
            </w:pPr>
            <w:r>
              <w:drawing>
                <wp:inline>
                  <wp:extent cx="2954955" cy="1232033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4955" cy="1232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Скалярное произведение векторов</w:t>
            </w:r>
          </w:p>
          <w:bookmarkEnd w:id="173"/>
        </w:tc>
      </w:tr>
    </w:tbl>
    <w:p>
      <w:pPr>
        <w:pStyle w:val="BodyText"/>
      </w:pPr>
      <w:r>
        <w:t xml:space="preserve">Сложение и вычитание матриц выполняются поэлементно (рис. -</w:t>
      </w:r>
      <w:hyperlink w:anchor="fig-035">
        <w:r>
          <w:rPr>
            <w:rStyle w:val="Hyperlink"/>
          </w:rPr>
          <w:t xml:space="preserve">Рисунок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035"/>
          <w:p>
            <w:pPr>
              <w:pStyle w:val="Compact"/>
              <w:jc w:val="center"/>
            </w:pPr>
            <w:r>
              <w:drawing>
                <wp:inline>
                  <wp:extent cx="3975233" cy="148229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233" cy="1482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Сложение и вычитание матриц</w:t>
            </w:r>
          </w:p>
          <w:bookmarkEnd w:id="177"/>
        </w:tc>
      </w:tr>
    </w:tbl>
    <w:p>
      <w:pPr>
        <w:pStyle w:val="BodyText"/>
      </w:pPr>
      <w:r>
        <w:t xml:space="preserve">Транспонирование матрицы через оператор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и функцию</w:t>
      </w:r>
      <w:r>
        <w:t xml:space="preserve"> </w:t>
      </w:r>
      <w:r>
        <w:rPr>
          <w:rStyle w:val="VerbatimChar"/>
        </w:rPr>
        <w:t xml:space="preserve">transpose()</w:t>
      </w:r>
      <w:r>
        <w:t xml:space="preserve"> </w:t>
      </w:r>
      <w:r>
        <w:t xml:space="preserve">даёт одинаковый результат для вещественной матрицы (рис. -</w:t>
      </w:r>
      <w:hyperlink w:anchor="fig-036">
        <w:r>
          <w:rPr>
            <w:rStyle w:val="Hyperlink"/>
          </w:rPr>
          <w:t xml:space="preserve">Рисунок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036"/>
          <w:p>
            <w:pPr>
              <w:pStyle w:val="Compact"/>
              <w:jc w:val="center"/>
            </w:pPr>
            <w:r>
              <w:drawing>
                <wp:inline>
                  <wp:extent cx="3349591" cy="981776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591" cy="981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Транспонирование матрицы</w:t>
            </w:r>
          </w:p>
          <w:bookmarkEnd w:id="181"/>
        </w:tc>
      </w:tr>
    </w:tbl>
    <w:p>
      <w:pPr>
        <w:pStyle w:val="BodyText"/>
      </w:pPr>
      <w:r>
        <w:t xml:space="preserve">Умножение матрицы на скаляр, матричное умножение</w:t>
      </w:r>
      <w:r>
        <w:t xml:space="preserve"> </w:t>
      </w:r>
      <w:r>
        <w:rPr>
          <w:rStyle w:val="VerbatimChar"/>
        </w:rPr>
        <w:t xml:space="preserve">A*B</w:t>
      </w:r>
      <w:r>
        <w:t xml:space="preserve"> </w:t>
      </w:r>
      <w:r>
        <w:t xml:space="preserve">и поэлементное умножение</w:t>
      </w:r>
      <w:r>
        <w:t xml:space="preserve"> </w:t>
      </w:r>
      <w:r>
        <w:rPr>
          <w:rStyle w:val="VerbatimChar"/>
        </w:rPr>
        <w:t xml:space="preserve">A .* B</w:t>
      </w:r>
      <w:r>
        <w:t xml:space="preserve"> </w:t>
      </w:r>
      <w:r>
        <w:t xml:space="preserve">дают разные результаты (рис. -</w:t>
      </w:r>
      <w:hyperlink w:anchor="fig-037">
        <w:r>
          <w:rPr>
            <w:rStyle w:val="Hyperlink"/>
          </w:rPr>
          <w:t xml:space="preserve">Рисунок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037"/>
          <w:p>
            <w:pPr>
              <w:pStyle w:val="Compact"/>
              <w:jc w:val="center"/>
            </w:pPr>
            <w:r>
              <w:drawing>
                <wp:inline>
                  <wp:extent cx="4398745" cy="837397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745" cy="837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Умножение матриц: на скаляр, матричное и поэлементное</w:t>
            </w:r>
          </w:p>
          <w:bookmarkEnd w:id="185"/>
        </w:tc>
      </w:tr>
    </w:tbl>
    <w:bookmarkEnd w:id="186"/>
    <w:bookmarkEnd w:id="187"/>
    <w:bookmarkEnd w:id="188"/>
    <w:bookmarkStart w:id="189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3"/>
        </w:numPr>
      </w:pPr>
      <w:r>
        <w:t xml:space="preserve">Julia 1.10.5, Jupyter Lab 4.6.3 и ядро IJulia установлены и настроены, блокнот</w:t>
      </w:r>
      <w:r>
        <w:t xml:space="preserve"> </w:t>
      </w:r>
      <w:r>
        <w:rPr>
          <w:rStyle w:val="VerbatimChar"/>
        </w:rPr>
        <w:t xml:space="preserve">intro-julia.ipynb</w:t>
      </w:r>
      <w:r>
        <w:t xml:space="preserve"> </w:t>
      </w:r>
      <w:r>
        <w:t xml:space="preserve">создан и выполнен с ядром Julia.</w:t>
      </w:r>
    </w:p>
    <w:p>
      <w:pPr>
        <w:pStyle w:val="Compact"/>
        <w:numPr>
          <w:ilvl w:val="0"/>
          <w:numId w:val="1003"/>
        </w:numPr>
      </w:pPr>
      <w:r>
        <w:t xml:space="preserve">Все примеры раздела 1.3.3 воспроизведены, результаты совпадают с методическими указаниями.</w:t>
      </w:r>
    </w:p>
    <w:p>
      <w:pPr>
        <w:pStyle w:val="Compact"/>
        <w:numPr>
          <w:ilvl w:val="0"/>
          <w:numId w:val="1003"/>
        </w:numPr>
      </w:pPr>
      <w:r>
        <w:t xml:space="preserve">Задание 1 выполнено: показана разница между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/</w:t>
      </w:r>
      <w:r>
        <w:rPr>
          <w:rStyle w:val="VerbatimChar"/>
        </w:rPr>
        <w:t xml:space="preserve">println</w:t>
      </w:r>
      <w:r>
        <w:t xml:space="preserve">/</w:t>
      </w:r>
      <w:r>
        <w:rPr>
          <w:rStyle w:val="VerbatimChar"/>
        </w:rPr>
        <w:t xml:space="preserve">show</w:t>
      </w:r>
      <w:r>
        <w:t xml:space="preserve">, продемонстрированы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readdlm()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Задание 2 выполнено: показана работа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с базовыми типами, с указанием системы счисления и безопасный разбор через</w:t>
      </w:r>
      <w:r>
        <w:t xml:space="preserve"> </w:t>
      </w:r>
      <w:r>
        <w:rPr>
          <w:rStyle w:val="VerbatimChar"/>
        </w:rPr>
        <w:t xml:space="preserve">tryparse()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Задание 3 выполнено: рассмотрены арифметические операции со смешанными типами, деление и остаток, степени и корни, сравнение значений и типов, логические операции, арифметика комплексных чисел.</w:t>
      </w:r>
    </w:p>
    <w:p>
      <w:pPr>
        <w:pStyle w:val="Compact"/>
        <w:numPr>
          <w:ilvl w:val="0"/>
          <w:numId w:val="1003"/>
        </w:numPr>
      </w:pPr>
      <w:r>
        <w:t xml:space="preserve">Задание 4 выполнено: рассмотрены сложение/вычитание векторов и матриц, умножение на скаляр, скалярное произведение, транспонирование, матричное и поэлементное умножение.</w:t>
      </w:r>
    </w:p>
    <w:bookmarkEnd w:id="189"/>
    <w:bookmarkStart w:id="190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Результаты выполнения примеров и заданий полностью совпали с ожидаемым поведением, описанным в теоретической части: система типов Julia действительно повышает тип при смешанных операциях, а специализированные операторы (</w:t>
      </w:r>
      <w:r>
        <w:rPr>
          <w:rStyle w:val="VerbatimChar"/>
        </w:rPr>
        <w:t xml:space="preserve">÷</w:t>
      </w:r>
      <w:r>
        <w:t xml:space="preserve">,</w:t>
      </w:r>
      <w:r>
        <w:t xml:space="preserve"> </w:t>
      </w:r>
      <w:r>
        <w:rPr>
          <w:rStyle w:val="VerbatimChar"/>
        </w:rPr>
        <w:t xml:space="preserve">//</w:t>
      </w:r>
      <w:r>
        <w:t xml:space="preserve">,</w:t>
      </w:r>
      <w:r>
        <w:t xml:space="preserve"> </w:t>
      </w:r>
      <w:r>
        <w:rPr>
          <w:rStyle w:val="VerbatimChar"/>
        </w:rPr>
        <w:t xml:space="preserve">.*</w:t>
      </w:r>
      <w:r>
        <w:t xml:space="preserve">) сохраняют математический смысл, отличный от их «обычных» аналогов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).</w:t>
      </w:r>
    </w:p>
    <w:p>
      <w:pPr>
        <w:pStyle w:val="BodyText"/>
      </w:pPr>
      <w:r>
        <w:t xml:space="preserve">В процессе установки возникла техническая сложность: после установки Jupyter Lab через</w:t>
      </w:r>
      <w:r>
        <w:t xml:space="preserve"> </w:t>
      </w:r>
      <w:r>
        <w:rPr>
          <w:rStyle w:val="VerbatimChar"/>
        </w:rPr>
        <w:t xml:space="preserve">pip install jupyterlab --break-system-packages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jupyter lab</w:t>
      </w:r>
      <w:r>
        <w:t xml:space="preserve"> </w:t>
      </w:r>
      <w:r>
        <w:t xml:space="preserve">не находилась, так как каталог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отсутствовал в переменной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Проблема решена добавлением каталога в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</w:t>
      </w:r>
    </w:p>
    <w:p>
      <w:pPr>
        <w:pStyle w:val="BodyText"/>
      </w:pPr>
      <w:r>
        <w:t xml:space="preserve">Также при наборе выражения</w:t>
      </w:r>
      <w:r>
        <w:t xml:space="preserve"> </w:t>
      </w:r>
      <w:r>
        <w:rPr>
          <w:rStyle w:val="VerbatimChar"/>
        </w:rPr>
        <w:t xml:space="preserve">3 == 3.0, 3 === 3.0, 1 &lt; 2 &lt; 3</w:t>
      </w:r>
      <w:r>
        <w:t xml:space="preserve"> </w:t>
      </w:r>
      <w:r>
        <w:t xml:space="preserve">возникла ошибка</w:t>
      </w:r>
      <w:r>
        <w:t xml:space="preserve"> </w:t>
      </w:r>
      <w:r>
        <w:rPr>
          <w:rStyle w:val="VerbatimChar"/>
        </w:rPr>
        <w:t xml:space="preserve">not a unary operator</w:t>
      </w:r>
      <w:r>
        <w:t xml:space="preserve">, вызванная переносом строки прямо перед оператором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— Julia интерпретировала часть после переноса как новое выражение, начинающееся со знака</w:t>
      </w:r>
      <w:r>
        <w:t xml:space="preserve"> </w:t>
      </w:r>
      <w:r>
        <w:rPr>
          <w:rStyle w:val="VerbatimChar"/>
        </w:rPr>
        <w:t xml:space="preserve">=</w:t>
      </w:r>
      <w:r>
        <w:t xml:space="preserve">. После записи выражения одной строкой без переносов код выполнился корректно.</w:t>
      </w:r>
    </w:p>
    <w:bookmarkEnd w:id="190"/>
    <w:bookmarkStart w:id="191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4"/>
        </w:numPr>
      </w:pPr>
      <w:r>
        <w:t xml:space="preserve">Поставленная цель работы достигнута: рабочее окружение для Julia подготовлено, основы синтаксиса освоены на практике.</w:t>
      </w:r>
    </w:p>
    <w:p>
      <w:pPr>
        <w:pStyle w:val="Compact"/>
        <w:numPr>
          <w:ilvl w:val="0"/>
          <w:numId w:val="1004"/>
        </w:numPr>
      </w:pPr>
      <w:r>
        <w:t xml:space="preserve">Получены навыки установки и настройки Julia, Jupyter Lab и IJulia в среде WSL Ubuntu.</w:t>
      </w:r>
    </w:p>
    <w:p>
      <w:pPr>
        <w:pStyle w:val="Compact"/>
        <w:numPr>
          <w:ilvl w:val="0"/>
          <w:numId w:val="1004"/>
        </w:numPr>
      </w:pPr>
      <w:r>
        <w:t xml:space="preserve">Изучены и опробованы на собственных примерах функции ввода-вывода,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/</w:t>
      </w:r>
      <w:r>
        <w:rPr>
          <w:rStyle w:val="VerbatimChar"/>
        </w:rPr>
        <w:t xml:space="preserve">tryparse()</w:t>
      </w:r>
      <w:r>
        <w:t xml:space="preserve">, арифметические и логические операторы, операции над матрицами и векторами.</w:t>
      </w:r>
    </w:p>
    <w:p>
      <w:pPr>
        <w:pStyle w:val="Compact"/>
        <w:numPr>
          <w:ilvl w:val="0"/>
          <w:numId w:val="1004"/>
        </w:numPr>
      </w:pPr>
      <w:r>
        <w:t xml:space="preserve">Рекомендация: при дальнейшей работе с Julia в Jupyter обращать внимание на перенос строк в многострочных выражениях REPL/ячеек, чтобы избежать ошибок разбора.</w:t>
      </w:r>
    </w:p>
    <w:bookmarkEnd w:id="191"/>
    <w:bookmarkStart w:id="19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Julia 1.5 Documentation. — 2020. — URL:</w:t>
      </w:r>
      <w:r>
        <w:t xml:space="preserve"> </w:t>
      </w:r>
      <w:hyperlink r:id="rId192">
        <w:r>
          <w:rPr>
            <w:rStyle w:val="Hyperlink"/>
          </w:rPr>
          <w:t xml:space="preserve">https://docs.julialang.org/en/v1/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Klok H., Nazarathy Y. Statistics with Julia: Fundamentals for Data Science, Machine Learning and Artificial Intelligence. — 2020. — URL:</w:t>
      </w:r>
      <w:r>
        <w:t xml:space="preserve"> </w:t>
      </w:r>
      <w:hyperlink r:id="rId193">
        <w:r>
          <w:rPr>
            <w:rStyle w:val="Hyperlink"/>
          </w:rPr>
          <w:t xml:space="preserve">https://statisticswithjulia.org/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Ökten G. First Semester in Numerical Analysis with Julia. — Florida State University, 2019.</w:t>
      </w:r>
    </w:p>
    <w:p>
      <w:pPr>
        <w:pStyle w:val="Compact"/>
        <w:numPr>
          <w:ilvl w:val="0"/>
          <w:numId w:val="1005"/>
        </w:numPr>
      </w:pPr>
      <w:r>
        <w:t xml:space="preserve">Антонюк В. А. Язык Julia как инструмент исследователя. — М. : Физический факультет МГУ им. М. В. Ломоносова, 2019.</w:t>
      </w:r>
    </w:p>
    <w:p>
      <w:pPr>
        <w:pStyle w:val="Compact"/>
        <w:numPr>
          <w:ilvl w:val="0"/>
          <w:numId w:val="1005"/>
        </w:numPr>
      </w:pPr>
      <w:r>
        <w:t xml:space="preserve">Шиндин А. В. Язык программирования математических вычислений Julia. Базовое руководство. — Нижний Новгород : Нижегородский госуниверситет, 2016.</w:t>
      </w:r>
    </w:p>
    <w:bookmarkEnd w:id="194"/>
    <w:bookmarkStart w:id="195" w:name="листинг-кода-блокнота-intro-julia.ipynb"/>
    <w:p>
      <w:pPr>
        <w:pStyle w:val="Heading1"/>
      </w:pPr>
      <w:r>
        <w:t xml:space="preserve">8. Листинг кода блокнота intro-julia.ipynb</w:t>
      </w:r>
    </w:p>
    <w:p>
      <w:pPr>
        <w:pStyle w:val="SourceCode"/>
      </w:pPr>
      <w:r>
        <w:rPr>
          <w:rStyle w:val="CommentTok"/>
        </w:rPr>
        <w:t xml:space="preserve"># --- 1.3.3. Основы синтаксиса Julia ---</w:t>
      </w:r>
      <w:r>
        <w:br/>
      </w:r>
      <w:r>
        <w:br/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3.55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4im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/-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Int8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Int128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UInt128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(T,</w:t>
      </w:r>
      <w:r>
        <w:rPr>
          <w:rStyle w:val="FloatTok"/>
        </w:rPr>
        <w:t xml:space="preserve">7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: [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typemin</w:t>
      </w:r>
      <w:r>
        <w:rPr>
          <w:rStyle w:val="NormalTok"/>
        </w:rPr>
        <w:t xml:space="preserve">(T))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typemax</w:t>
      </w:r>
      <w:r>
        <w:rPr>
          <w:rStyle w:val="NormalTok"/>
        </w:rPr>
        <w:t xml:space="preserve">(T))</w:t>
      </w:r>
      <w:r>
        <w:rPr>
          <w:rStyle w:val="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Int64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Bool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Bool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promote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Int8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Float16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Float32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promote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Int8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Float16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Float32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FunctionTok"/>
        </w:rPr>
        <w:t xml:space="preserve">g</w:t>
      </w:r>
      <w:r>
        <w:rPr>
          <w:rStyle w:val="NormalTok"/>
        </w:rPr>
        <w:t xml:space="preserve">(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b; c d]</w:t>
      </w:r>
      <w:r>
        <w:br/>
      </w:r>
      <w:r>
        <w:rPr>
          <w:rStyle w:val="NormalTok"/>
        </w:rPr>
        <w:t xml:space="preserve">Am[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</w:t>
      </w:r>
      <w:r>
        <w:rPr>
          <w:rStyle w:val="Operator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--- 1.3.4. Задание 1: чтение/запись/вывод ---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world!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//</w:t>
      </w:r>
      <w:r>
        <w:rPr>
          <w:rStyle w:val="FloatTok"/>
        </w:rPr>
        <w:t xml:space="preserve">3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"текст с кавычками"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"текст с кавычками"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"запись в буфер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"записано байт: "</w:t>
      </w:r>
      <w:r>
        <w:rPr>
          <w:rStyle w:val="NormalTok"/>
        </w:rPr>
        <w:t xml:space="preserve">, n)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(io)))</w:t>
      </w:r>
      <w:r>
        <w:br/>
      </w:r>
      <w:r>
        <w:br/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"строка 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"строка 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"строка 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"read() -- весь файл одной строкой:"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"demo.txt"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"readline() -- только первая строка:"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"demo.txt"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(f))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"readlines() -- вектор всех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"demo.txt"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DelimitedFiles</w:t>
      </w:r>
      <w:r>
        <w:br/>
      </w:r>
      <w:r>
        <w:br/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"1,2,3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4,5,6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readdlm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"table.csv"</w:t>
      </w:r>
      <w:r>
        <w:rPr>
          <w:rStyle w:val="NormalTok"/>
        </w:rPr>
        <w:t xml:space="preserve">, </w:t>
      </w:r>
      <w:r>
        <w:rPr>
          <w:rStyle w:val="CharTok"/>
        </w:rPr>
        <w:t xml:space="preserve">','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(data)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"demo.txt"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Задание 2: parse() ---</w:t>
      </w:r>
      <w:r>
        <w:br/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"101"</w:t>
      </w:r>
      <w:r>
        <w:rPr>
          <w:rStyle w:val="NormalTok"/>
        </w:rPr>
        <w:t xml:space="preserve">, base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"ff"</w:t>
      </w:r>
      <w:r>
        <w:rPr>
          <w:rStyle w:val="NormalTok"/>
        </w:rPr>
        <w:t xml:space="preserve">, base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tryparse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tryparse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"не число"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Задание 3: арифметика с разными типами ---</w:t>
      </w:r>
      <w:r>
        <w:br/>
      </w:r>
      <w:r>
        <w:br/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FloatTok"/>
        </w:rPr>
        <w:t xml:space="preserve">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16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cbrt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!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xor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2im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1im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2im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1im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4im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Задание 4: матрицы и векторы ---</w:t>
      </w:r>
      <w:r>
        <w:br/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v2, v1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v2,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v1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FunctionTok"/>
        </w:rPr>
        <w:t xml:space="preserve">dot</w:t>
      </w:r>
      <w:r>
        <w:rPr>
          <w:rStyle w:val="NormalTok"/>
        </w:rPr>
        <w:t xml:space="preserve">(v1, v2), v1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v2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(A)</w:t>
      </w:r>
      <w:r>
        <w:br/>
      </w:r>
      <w:r>
        <w:br/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A,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B, 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</w:t>
      </w:r>
    </w:p>
    <w:bookmarkEnd w:id="1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37" Target="media/rId3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41" Target="media/rId41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hyperlink" Id="rId192" Target="https://docs.julialang.org/en/v1/" TargetMode="External" /><Relationship Type="http://schemas.openxmlformats.org/officeDocument/2006/relationships/hyperlink" Id="rId193" Target="https://statisticswithjulia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2" Target="https://docs.julialang.org/en/v1/" TargetMode="External" /><Relationship Type="http://schemas.openxmlformats.org/officeDocument/2006/relationships/hyperlink" Id="rId193" Target="https://statisticswithjuli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Умед Джамшедович Назармамадов</dc:creator>
  <dc:language>ru-RU</dc:language>
  <cp:keywords>Julia, Jupyter, IJulia, лабораторная работа, синтаксис</cp:keywords>
  <dcterms:created xsi:type="dcterms:W3CDTF">2026-09-12T14:54:54Z</dcterms:created>
  <dcterms:modified xsi:type="dcterms:W3CDTF">2026-09-12T14:54:54Z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описана подготовка рабочего окружения для работы с языком программирования Julia: установка Julia, Jupyter Lab и ядра IJulia в среде WSL Ubuntu.Воспроизведены базовые примеры синтаксиса Julia (типы данных, преобразование типов, функции, векторы и матрицы) и выполнены четыре задания для самостоятельной работы: функции ввода-вывода, функция parse(), арифметика с разными типами данных, операции над матрицами и векторами.Все результаты подтверждены скриншотами выполнения кода в Jupyter Lab.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Julia. Установка и настройка. Основные принципы</vt:lpwstr>
  </property>
  <property fmtid="{D5CDD505-2E9C-101B-9397-08002B2CF9AE}" pid="17" name="toc-title">
    <vt:lpwstr>Содержание</vt:lpwstr>
  </property>
</Properties>
</file>