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4"/>
          <w:szCs w:val="34"/>
        </w:rPr>
        <w:t xml:space="preserve">Data Preprocessing Report</w:t>
      </w:r>
    </w:p>
    <w:p>
      <w:pPr>
        <w:spacing w:after="60"/>
        <w:jc w:val="center"/>
      </w:pPr>
      <w:r>
        <w:rPr>
          <w:i/>
          <w:iCs/>
          <w:sz w:val="24"/>
          <w:szCs w:val="24"/>
        </w:rPr>
        <w:t xml:space="preserve">Heart Disease Prediction Dataset — Feature Engineering &amp; Preprocessing</w:t>
      </w:r>
    </w:p>
    <w:p>
      <w:pPr>
        <w:spacing w:after="300"/>
        <w:jc w:val="center"/>
      </w:pPr>
      <w:r>
        <w:rPr>
          <w:color w:val="555555"/>
          <w:sz w:val="20"/>
          <w:szCs w:val="20"/>
        </w:rPr>
        <w:t xml:space="preserve">Prepared by AnalystLab Africa Consulting  |  August 2026</w:t>
      </w:r>
    </w:p>
    <w:p>
      <w:pPr>
        <w:pStyle w:val="Heading1"/>
        <w:spacing w:after="150" w:before="300"/>
      </w:pPr>
      <w:r>
        <w:t xml:space="preserve">1. Business Problem Recap</w:t>
      </w:r>
    </w:p>
    <w:p>
      <w:pPr>
        <w:spacing w:after="160"/>
      </w:pPr>
      <w:r>
        <w:t xml:space="preserve">This continues the Week 2 engagement for ABC Manufacturing Ltd's proposed employee wellness screening initiative, using the Heart Disease Prediction dataset (Kaggle, via fedesoriano) as a stand-in for real patient data. Full business context is in the accompanying Business Understanding Report — this report focuses on what was actually done to the data and why.</w:t>
      </w:r>
    </w:p>
    <w:p>
      <w:pPr>
        <w:pStyle w:val="Heading1"/>
        <w:spacing w:after="150" w:before="300"/>
      </w:pPr>
      <w:r>
        <w:t xml:space="preserve">2. Dataset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6F1" w:val="clear"/>
          </w:tcPr>
          <w:p>
            <w:r>
              <w:rPr>
                <w:b/>
                <w:bCs/>
                <w:sz w:val="19"/>
                <w:szCs w:val="19"/>
              </w:rPr>
              <w:t xml:space="preserve">Item</w:t>
            </w:r>
          </w:p>
        </w:tc>
        <w:tc>
          <w:tcPr>
            <w:tcW w:type="dxa" w:w="4500"/>
            <w:shd w:fill="DCE6F1" w:val="clear"/>
          </w:tcPr>
          <w:p>
            <w:r>
              <w:rPr>
                <w:b/>
                <w:bCs/>
                <w:sz w:val="19"/>
                <w:szCs w:val="19"/>
              </w:rPr>
              <w:t xml:space="preserve">Value</w:t>
            </w:r>
          </w:p>
        </w:tc>
      </w:tr>
      <w:tr>
        <w:tc>
          <w:tcPr>
            <w:tcW w:type="dxa" w:w="4500"/>
          </w:tcPr>
          <w:p>
            <w:r>
              <w:rPr>
                <w:b w:val="false"/>
                <w:bCs w:val="false"/>
                <w:sz w:val="19"/>
                <w:szCs w:val="19"/>
              </w:rPr>
              <w:t xml:space="preserve">Raw rows</w:t>
            </w:r>
          </w:p>
        </w:tc>
        <w:tc>
          <w:tcPr>
            <w:tcW w:type="dxa" w:w="4500"/>
          </w:tcPr>
          <w:p>
            <w:r>
              <w:rPr>
                <w:b w:val="false"/>
                <w:bCs w:val="false"/>
                <w:sz w:val="19"/>
                <w:szCs w:val="19"/>
              </w:rPr>
              <w:t xml:space="preserve">918</w:t>
            </w:r>
          </w:p>
        </w:tc>
      </w:tr>
      <w:tr>
        <w:tc>
          <w:tcPr>
            <w:tcW w:type="dxa" w:w="4500"/>
          </w:tcPr>
          <w:p>
            <w:r>
              <w:rPr>
                <w:b w:val="false"/>
                <w:bCs w:val="false"/>
                <w:sz w:val="19"/>
                <w:szCs w:val="19"/>
              </w:rPr>
              <w:t xml:space="preserve">Raw columns</w:t>
            </w:r>
          </w:p>
        </w:tc>
        <w:tc>
          <w:tcPr>
            <w:tcW w:type="dxa" w:w="4500"/>
          </w:tcPr>
          <w:p>
            <w:r>
              <w:rPr>
                <w:b w:val="false"/>
                <w:bCs w:val="false"/>
                <w:sz w:val="19"/>
                <w:szCs w:val="19"/>
              </w:rPr>
              <w:t xml:space="preserve">12 (11 predictors + target)</w:t>
            </w:r>
          </w:p>
        </w:tc>
      </w:tr>
      <w:tr>
        <w:tc>
          <w:tcPr>
            <w:tcW w:type="dxa" w:w="4500"/>
          </w:tcPr>
          <w:p>
            <w:r>
              <w:rPr>
                <w:b w:val="false"/>
                <w:bCs w:val="false"/>
                <w:sz w:val="19"/>
                <w:szCs w:val="19"/>
              </w:rPr>
              <w:t xml:space="preserve">Missing values (pandas isnull())</w:t>
            </w:r>
          </w:p>
        </w:tc>
        <w:tc>
          <w:tcPr>
            <w:tcW w:type="dxa" w:w="4500"/>
          </w:tcPr>
          <w:p>
            <w:r>
              <w:rPr>
                <w:b w:val="false"/>
                <w:bCs w:val="false"/>
                <w:sz w:val="19"/>
                <w:szCs w:val="19"/>
              </w:rPr>
              <w:t xml:space="preserve">0</w:t>
            </w:r>
          </w:p>
        </w:tc>
      </w:tr>
      <w:tr>
        <w:tc>
          <w:tcPr>
            <w:tcW w:type="dxa" w:w="4500"/>
          </w:tcPr>
          <w:p>
            <w:r>
              <w:rPr>
                <w:b w:val="false"/>
                <w:bCs w:val="false"/>
                <w:sz w:val="19"/>
                <w:szCs w:val="19"/>
              </w:rPr>
              <w:t xml:space="preserve">Duplicate rows</w:t>
            </w:r>
          </w:p>
        </w:tc>
        <w:tc>
          <w:tcPr>
            <w:tcW w:type="dxa" w:w="4500"/>
          </w:tcPr>
          <w:p>
            <w:r>
              <w:rPr>
                <w:b w:val="false"/>
                <w:bCs w:val="false"/>
                <w:sz w:val="19"/>
                <w:szCs w:val="19"/>
              </w:rPr>
              <w:t xml:space="preserve">0</w:t>
            </w:r>
          </w:p>
        </w:tc>
      </w:tr>
      <w:tr>
        <w:tc>
          <w:tcPr>
            <w:tcW w:type="dxa" w:w="4500"/>
          </w:tcPr>
          <w:p>
            <w:r>
              <w:rPr>
                <w:b w:val="false"/>
                <w:bCs w:val="false"/>
                <w:sz w:val="19"/>
                <w:szCs w:val="19"/>
              </w:rPr>
              <w:t xml:space="preserve">Target variable</w:t>
            </w:r>
          </w:p>
        </w:tc>
        <w:tc>
          <w:tcPr>
            <w:tcW w:type="dxa" w:w="4500"/>
          </w:tcPr>
          <w:p>
            <w:r>
              <w:rPr>
                <w:b w:val="false"/>
                <w:bCs w:val="false"/>
                <w:sz w:val="19"/>
                <w:szCs w:val="19"/>
              </w:rPr>
              <w:t xml:space="preserve">HeartDisease (0 = No, 1 = Yes)</w:t>
            </w:r>
          </w:p>
        </w:tc>
      </w:tr>
      <w:tr>
        <w:tc>
          <w:tcPr>
            <w:tcW w:type="dxa" w:w="4500"/>
          </w:tcPr>
          <w:p>
            <w:r>
              <w:rPr>
                <w:b w:val="false"/>
                <w:bCs w:val="false"/>
                <w:sz w:val="19"/>
                <w:szCs w:val="19"/>
              </w:rPr>
              <w:t xml:space="preserve">Target balance</w:t>
            </w:r>
          </w:p>
        </w:tc>
        <w:tc>
          <w:tcPr>
            <w:tcW w:type="dxa" w:w="4500"/>
          </w:tcPr>
          <w:p>
            <w:r>
              <w:rPr>
                <w:b w:val="false"/>
                <w:bCs w:val="false"/>
                <w:sz w:val="19"/>
                <w:szCs w:val="19"/>
              </w:rPr>
              <w:t xml:space="preserve">508 Yes (55.3%) / 410 No (44.7%)</w:t>
            </w:r>
          </w:p>
        </w:tc>
      </w:tr>
    </w:tbl>
    <w:p>
      <w:pPr>
        <w:spacing w:after="160"/>
      </w:pPr>
      <w:r>
        <w:t xml:space="preserve">On the surface this dataset looked spotless — pandas reported zero missing values before I dug any deeper. That turned out to be misleading, which is exactly why Section 3 exists.</w:t>
      </w:r>
    </w:p>
    <w:p>
      <w:pPr>
        <w:pStyle w:val="Heading1"/>
        <w:spacing w:after="150" w:before="300"/>
      </w:pPr>
      <w:r>
        <w:t xml:space="preserve">3. Data Cleaning</w:t>
      </w:r>
    </w:p>
    <w:p>
      <w:pPr>
        <w:pStyle w:val="Heading2"/>
        <w:spacing w:after="100" w:before="220"/>
      </w:pPr>
      <w:r>
        <w:t xml:space="preserve">3.1 The Disguised Missing Values</w:t>
      </w:r>
    </w:p>
    <w:p>
      <w:pPr>
        <w:spacing w:after="160"/>
      </w:pPr>
      <w:r>
        <w:t xml:space="preserve">Two numeric columns — RestingBP and Cholesterol — contained values of exactly 0. A living patient cannot have a resting blood pressure or a total cholesterol reading of zero, so these weren't real measurements, they were missing data that got coded as 0 somewhere upstream instead of being left blank. I only caught this by actually looking at df.describe() and noticing the minimums, not from pandas' built-in null check.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3400"/>
      </w:tblGrid>
      <w:tr>
        <w:tc>
          <w:tcPr>
            <w:tcW w:type="dxa" w:w="2600"/>
            <w:shd w:fill="DCE6F1" w:val="clear"/>
          </w:tcPr>
          <w:p>
            <w:r>
              <w:rPr>
                <w:b/>
                <w:bCs/>
                <w:sz w:val="19"/>
                <w:szCs w:val="19"/>
              </w:rPr>
              <w:t xml:space="preserve">Column</w:t>
            </w:r>
          </w:p>
        </w:tc>
        <w:tc>
          <w:tcPr>
            <w:tcW w:type="dxa" w:w="2000"/>
            <w:shd w:fill="DCE6F1" w:val="clear"/>
          </w:tcPr>
          <w:p>
            <w:r>
              <w:rPr>
                <w:b/>
                <w:bCs/>
                <w:sz w:val="19"/>
                <w:szCs w:val="19"/>
              </w:rPr>
              <w:t xml:space="preserve">Rows affected</w:t>
            </w:r>
          </w:p>
        </w:tc>
        <w:tc>
          <w:tcPr>
            <w:tcW w:type="dxa" w:w="2000"/>
            <w:shd w:fill="DCE6F1" w:val="clear"/>
          </w:tcPr>
          <w:p>
            <w:r>
              <w:rPr>
                <w:b/>
                <w:bCs/>
                <w:sz w:val="19"/>
                <w:szCs w:val="19"/>
              </w:rPr>
              <w:t xml:space="preserve">% of dataset</w:t>
            </w:r>
          </w:p>
        </w:tc>
        <w:tc>
          <w:tcPr>
            <w:tcW w:type="dxa" w:w="3400"/>
            <w:shd w:fill="DCE6F1" w:val="clear"/>
          </w:tcPr>
          <w:p>
            <w:r>
              <w:rPr>
                <w:b/>
                <w:bCs/>
                <w:sz w:val="19"/>
                <w:szCs w:val="19"/>
              </w:rPr>
              <w:t xml:space="preserve">Treatment</w:t>
            </w:r>
          </w:p>
        </w:tc>
      </w:tr>
      <w:tr>
        <w:tc>
          <w:tcPr>
            <w:tcW w:type="dxa" w:w="2600"/>
          </w:tcPr>
          <w:p>
            <w:r>
              <w:rPr>
                <w:b w:val="false"/>
                <w:bCs w:val="false"/>
                <w:sz w:val="19"/>
                <w:szCs w:val="19"/>
              </w:rPr>
              <w:t xml:space="preserve">Cholesterol</w:t>
            </w:r>
          </w:p>
        </w:tc>
        <w:tc>
          <w:tcPr>
            <w:tcW w:type="dxa" w:w="2000"/>
          </w:tcPr>
          <w:p>
            <w:r>
              <w:rPr>
                <w:b w:val="false"/>
                <w:bCs w:val="false"/>
                <w:sz w:val="19"/>
                <w:szCs w:val="19"/>
              </w:rPr>
              <w:t xml:space="preserve">172</w:t>
            </w:r>
          </w:p>
        </w:tc>
        <w:tc>
          <w:tcPr>
            <w:tcW w:type="dxa" w:w="2000"/>
          </w:tcPr>
          <w:p>
            <w:r>
              <w:rPr>
                <w:b w:val="false"/>
                <w:bCs w:val="false"/>
                <w:sz w:val="19"/>
                <w:szCs w:val="19"/>
              </w:rPr>
              <w:t xml:space="preserve">18.7%</w:t>
            </w:r>
          </w:p>
        </w:tc>
        <w:tc>
          <w:tcPr>
            <w:tcW w:type="dxa" w:w="3400"/>
          </w:tcPr>
          <w:p>
            <w:r>
              <w:rPr>
                <w:b w:val="false"/>
                <w:bCs w:val="false"/>
                <w:sz w:val="19"/>
                <w:szCs w:val="19"/>
              </w:rPr>
              <w:t xml:space="preserve">Set to NaN, then median-imputed within each ChestPainType group</w:t>
            </w:r>
          </w:p>
        </w:tc>
      </w:tr>
      <w:tr>
        <w:tc>
          <w:tcPr>
            <w:tcW w:type="dxa" w:w="2600"/>
          </w:tcPr>
          <w:p>
            <w:r>
              <w:rPr>
                <w:b w:val="false"/>
                <w:bCs w:val="false"/>
                <w:sz w:val="19"/>
                <w:szCs w:val="19"/>
              </w:rPr>
              <w:t xml:space="preserve">RestingBP</w:t>
            </w:r>
          </w:p>
        </w:tc>
        <w:tc>
          <w:tcPr>
            <w:tcW w:type="dxa" w:w="2000"/>
          </w:tcPr>
          <w:p>
            <w:r>
              <w:rPr>
                <w:b w:val="false"/>
                <w:bCs w:val="false"/>
                <w:sz w:val="19"/>
                <w:szCs w:val="19"/>
              </w:rPr>
              <w:t xml:space="preserve">1</w:t>
            </w:r>
          </w:p>
        </w:tc>
        <w:tc>
          <w:tcPr>
            <w:tcW w:type="dxa" w:w="2000"/>
          </w:tcPr>
          <w:p>
            <w:r>
              <w:rPr>
                <w:b w:val="false"/>
                <w:bCs w:val="false"/>
                <w:sz w:val="19"/>
                <w:szCs w:val="19"/>
              </w:rPr>
              <w:t xml:space="preserve">0.1%</w:t>
            </w:r>
          </w:p>
        </w:tc>
        <w:tc>
          <w:tcPr>
            <w:tcW w:type="dxa" w:w="3400"/>
          </w:tcPr>
          <w:p>
            <w:r>
              <w:rPr>
                <w:b w:val="false"/>
                <w:bCs w:val="false"/>
                <w:sz w:val="19"/>
                <w:szCs w:val="19"/>
              </w:rPr>
              <w:t xml:space="preserve">Set to NaN, then filled with the global median</w:t>
            </w:r>
          </w:p>
        </w:tc>
      </w:tr>
    </w:tbl>
    <w:p>
      <w:pPr>
        <w:spacing w:after="160"/>
      </w:pPr>
      <w:r>
        <w:t xml:space="preserve">I used median rather than mean for both, because Cholesterol in particular is right-skewed — a mean would get pulled upward by a handful of very high readings and end up less representative of a typical patient than the median. For Cholesterol specifically, I imputed within ChestPainType groups rather than using one dataset-wide median, on the reasoning that cholesterol levels plausibly differ across patient presentation groups, and a single global number would have flattened that out unnecessarily. RestingBP only had one missing value, so a simple global median was more than sufficient there.</w:t>
      </w:r>
    </w:p>
    <w:p>
      <w:pPr>
        <w:pStyle w:val="Heading2"/>
        <w:spacing w:after="100" w:before="220"/>
      </w:pPr>
      <w:r>
        <w:t xml:space="preserve">3.2 Duplicate Records</w:t>
      </w:r>
    </w:p>
    <w:p>
      <w:pPr>
        <w:spacing w:after="160"/>
      </w:pPr>
      <w:r>
        <w:t xml:space="preserve">Checked both before and after the missing-value fix — 0 duplicate rows either time. Nothing to remove here.</w:t>
      </w:r>
    </w:p>
    <w:p>
      <w:pPr>
        <w:pStyle w:val="Heading2"/>
        <w:spacing w:after="100" w:before="220"/>
      </w:pPr>
      <w:r>
        <w:t xml:space="preserve">3.3 Data Type Validation</w:t>
      </w:r>
    </w:p>
    <w:p>
      <w:pPr>
        <w:spacing w:after="160"/>
      </w:pPr>
      <w:r>
        <w:t xml:space="preserve">All numeric columns were already stored with sensible types (int64 / float64). The one thing worth flagging is that FastingBS and HeartDisease are stored as integers but are really binary flags, not quantities — I kept their numeric dtype (scikit-learn expects that), but deliberately excluded both from the scaling step in Section 6 so they weren't treated as continuous values by mistake.</w:t>
      </w:r>
    </w:p>
    <w:p>
      <w:pPr>
        <w:pStyle w:val="Heading1"/>
        <w:spacing w:after="150" w:before="300"/>
      </w:pPr>
      <w:r>
        <w:t xml:space="preserve">4. Feature Engineering</w:t>
      </w:r>
    </w:p>
    <w:p>
      <w:pPr>
        <w:pStyle w:val="Heading2"/>
        <w:spacing w:after="100" w:before="220"/>
      </w:pPr>
      <w:r>
        <w:t xml:space="preserve">4.1 New Features Created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c>
          <w:tcPr>
            <w:tcW w:type="dxa" w:w="2200"/>
            <w:shd w:fill="DCE6F1" w:val="clear"/>
          </w:tcPr>
          <w:p>
            <w:r>
              <w:rPr>
                <w:b/>
                <w:bCs/>
                <w:sz w:val="19"/>
                <w:szCs w:val="19"/>
              </w:rPr>
              <w:t xml:space="preserve">New Feature</w:t>
            </w:r>
          </w:p>
        </w:tc>
        <w:tc>
          <w:tcPr>
            <w:tcW w:type="dxa" w:w="3300"/>
            <w:shd w:fill="DCE6F1" w:val="clear"/>
          </w:tcPr>
          <w:p>
            <w:r>
              <w:rPr>
                <w:b/>
                <w:bCs/>
                <w:sz w:val="19"/>
                <w:szCs w:val="19"/>
              </w:rPr>
              <w:t xml:space="preserve">How it was built</w:t>
            </w:r>
          </w:p>
        </w:tc>
        <w:tc>
          <w:tcPr>
            <w:tcW w:type="dxa" w:w="3500"/>
            <w:shd w:fill="DCE6F1" w:val="clear"/>
          </w:tcPr>
          <w:p>
            <w:r>
              <w:rPr>
                <w:b/>
                <w:bCs/>
                <w:sz w:val="19"/>
                <w:szCs w:val="19"/>
              </w:rPr>
              <w:t xml:space="preserve">Why</w:t>
            </w:r>
          </w:p>
        </w:tc>
      </w:tr>
      <w:tr>
        <w:tc>
          <w:tcPr>
            <w:tcW w:type="dxa" w:w="2200"/>
          </w:tcPr>
          <w:p>
            <w:r>
              <w:rPr>
                <w:b w:val="false"/>
                <w:bCs w:val="false"/>
                <w:sz w:val="19"/>
                <w:szCs w:val="19"/>
              </w:rPr>
              <w:t xml:space="preserve">AgeGroup</w:t>
            </w:r>
          </w:p>
        </w:tc>
        <w:tc>
          <w:tcPr>
            <w:tcW w:type="dxa" w:w="3300"/>
          </w:tcPr>
          <w:p>
            <w:r>
              <w:rPr>
                <w:b w:val="false"/>
                <w:bCs w:val="false"/>
                <w:sz w:val="19"/>
                <w:szCs w:val="19"/>
              </w:rPr>
              <w:t xml:space="preserve">Age binned into Under 40 / 40-49 / 50-59 / 60+</w:t>
            </w:r>
          </w:p>
        </w:tc>
        <w:tc>
          <w:tcPr>
            <w:tcW w:type="dxa" w:w="3500"/>
          </w:tcPr>
          <w:p>
            <w:r>
              <w:rPr>
                <w:b w:val="false"/>
                <w:bCs w:val="false"/>
                <w:sz w:val="19"/>
                <w:szCs w:val="19"/>
              </w:rPr>
              <w:t xml:space="preserve">Heart disease rate rose in visible steps across age bands rather than a perfectly smooth line — bands captured that pattern well and are easier for a non-technical reader to interpret.</w:t>
            </w:r>
          </w:p>
        </w:tc>
      </w:tr>
      <w:tr>
        <w:tc>
          <w:tcPr>
            <w:tcW w:type="dxa" w:w="2200"/>
          </w:tcPr>
          <w:p>
            <w:r>
              <w:rPr>
                <w:b w:val="false"/>
                <w:bCs w:val="false"/>
                <w:sz w:val="19"/>
                <w:szCs w:val="19"/>
              </w:rPr>
              <w:t xml:space="preserve">RiskFactorCount</w:t>
            </w:r>
          </w:p>
        </w:tc>
        <w:tc>
          <w:tcPr>
            <w:tcW w:type="dxa" w:w="3300"/>
          </w:tcPr>
          <w:p>
            <w:r>
              <w:rPr>
                <w:b w:val="false"/>
                <w:bCs w:val="false"/>
                <w:sz w:val="19"/>
                <w:szCs w:val="19"/>
              </w:rPr>
              <w:t xml:space="preserve">Count of: high fasting blood sugar, exercise angina, high cholesterol, high blood pressure (0-4)</w:t>
            </w:r>
          </w:p>
        </w:tc>
        <w:tc>
          <w:tcPr>
            <w:tcW w:type="dxa" w:w="3500"/>
          </w:tcPr>
          <w:p>
            <w:r>
              <w:rPr>
                <w:b w:val="false"/>
                <w:bCs w:val="false"/>
                <w:sz w:val="19"/>
                <w:szCs w:val="19"/>
              </w:rPr>
              <w:t xml:space="preserve">Tests whether the accumulation of multiple moderate risk factors matters, which a model can't always infer on its own from the individual columns.</w:t>
            </w:r>
          </w:p>
        </w:tc>
      </w:tr>
    </w:tbl>
    <w:p>
      <w:pPr>
        <w:spacing w:after="160"/>
      </w:pPr>
      <w:r>
        <w:t xml:space="preserve">Two intermediate columns (CholesterolCategory and BPCategory) were created only as stepping stones to build RiskFactorCount, then dropped — keeping the raw value, the category, and the summary feature built from the category all at once would have added redundant, correlated columns without adding new information.</w:t>
      </w:r>
    </w:p>
    <w:p>
      <w:pPr>
        <w:pStyle w:val="Heading2"/>
        <w:spacing w:after="100" w:before="220"/>
      </w:pPr>
      <w:r>
        <w:t xml:space="preserve">4.2 Irrelevant Features Removed</w:t>
      </w:r>
    </w:p>
    <w:p>
      <w:pPr>
        <w:spacing w:after="160"/>
      </w:pPr>
      <w:r>
        <w:t xml:space="preserve">Unlike the Week 1 HR dataset, which had obvious dead weight (EmployeeNumber, EmployeeCount, StandardHours, Over18), this dataset arrived pre-trimmed to clinically relevant fields — there was no pure identifier or constant-value column to drop. The only removals were the two intermediate binned columns described above.</w:t>
      </w:r>
    </w:p>
    <w:p>
      <w:pPr>
        <w:pStyle w:val="Heading2"/>
        <w:spacing w:after="100" w:before="220"/>
      </w:pPr>
      <w:r>
        <w:t xml:space="preserve">4.3 Columns Renamed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shd w:fill="DCE6F1" w:val="clear"/>
          </w:tcPr>
          <w:p>
            <w:r>
              <w:rPr>
                <w:b/>
                <w:bCs/>
                <w:sz w:val="19"/>
                <w:szCs w:val="19"/>
              </w:rPr>
              <w:t xml:space="preserve">Original Name</w:t>
            </w:r>
          </w:p>
        </w:tc>
        <w:tc>
          <w:tcPr>
            <w:tcW w:type="dxa" w:w="2800"/>
            <w:shd w:fill="DCE6F1" w:val="clear"/>
          </w:tcPr>
          <w:p>
            <w:r>
              <w:rPr>
                <w:b/>
                <w:bCs/>
                <w:sz w:val="19"/>
                <w:szCs w:val="19"/>
              </w:rPr>
              <w:t xml:space="preserve">Renamed To</w:t>
            </w:r>
          </w:p>
        </w:tc>
        <w:tc>
          <w:tcPr>
            <w:tcW w:type="dxa" w:w="4000"/>
            <w:shd w:fill="DCE6F1" w:val="clear"/>
          </w:tcPr>
          <w:p>
            <w:r>
              <w:rPr>
                <w:b/>
                <w:bCs/>
                <w:sz w:val="19"/>
                <w:szCs w:val="19"/>
              </w:rPr>
              <w:t xml:space="preserve">Reason</w:t>
            </w:r>
          </w:p>
        </w:tc>
      </w:tr>
      <w:tr>
        <w:tc>
          <w:tcPr>
            <w:tcW w:type="dxa" w:w="2200"/>
          </w:tcPr>
          <w:p>
            <w:r>
              <w:rPr>
                <w:b w:val="false"/>
                <w:bCs w:val="false"/>
                <w:sz w:val="19"/>
                <w:szCs w:val="19"/>
              </w:rPr>
              <w:t xml:space="preserve">FastingBS</w:t>
            </w:r>
          </w:p>
        </w:tc>
        <w:tc>
          <w:tcPr>
            <w:tcW w:type="dxa" w:w="2800"/>
          </w:tcPr>
          <w:p>
            <w:r>
              <w:rPr>
                <w:b w:val="false"/>
                <w:bCs w:val="false"/>
                <w:sz w:val="19"/>
                <w:szCs w:val="19"/>
              </w:rPr>
              <w:t xml:space="preserve">FastingBloodSugarHigh</w:t>
            </w:r>
          </w:p>
        </w:tc>
        <w:tc>
          <w:tcPr>
            <w:tcW w:type="dxa" w:w="4000"/>
          </w:tcPr>
          <w:p>
            <w:r>
              <w:rPr>
                <w:b w:val="false"/>
                <w:bCs w:val="false"/>
                <w:sz w:val="19"/>
                <w:szCs w:val="19"/>
              </w:rPr>
              <w:t xml:space="preserve">Original name is a cryptic abbreviation; the new name states what the flag actually means (1 = fasting blood sugar &gt; 120 mg/dl).</w:t>
            </w:r>
          </w:p>
        </w:tc>
      </w:tr>
      <w:tr>
        <w:tc>
          <w:tcPr>
            <w:tcW w:type="dxa" w:w="2200"/>
          </w:tcPr>
          <w:p>
            <w:r>
              <w:rPr>
                <w:b w:val="false"/>
                <w:bCs w:val="false"/>
                <w:sz w:val="19"/>
                <w:szCs w:val="19"/>
              </w:rPr>
              <w:t xml:space="preserve">Oldpeak</w:t>
            </w:r>
          </w:p>
        </w:tc>
        <w:tc>
          <w:tcPr>
            <w:tcW w:type="dxa" w:w="2800"/>
          </w:tcPr>
          <w:p>
            <w:r>
              <w:rPr>
                <w:b w:val="false"/>
                <w:bCs w:val="false"/>
                <w:sz w:val="19"/>
                <w:szCs w:val="19"/>
              </w:rPr>
              <w:t xml:space="preserve">ST_Depression</w:t>
            </w:r>
          </w:p>
        </w:tc>
        <w:tc>
          <w:tcPr>
            <w:tcW w:type="dxa" w:w="4000"/>
          </w:tcPr>
          <w:p>
            <w:r>
              <w:rPr>
                <w:b w:val="false"/>
                <w:bCs w:val="false"/>
                <w:sz w:val="19"/>
                <w:szCs w:val="19"/>
              </w:rPr>
              <w:t xml:space="preserve">"Oldpeak" means nothing without cardiology background; ST_Depression names the actual clinical measurement.</w:t>
            </w:r>
          </w:p>
        </w:tc>
      </w:tr>
      <w:tr>
        <w:tc>
          <w:tcPr>
            <w:tcW w:type="dxa" w:w="2200"/>
          </w:tcPr>
          <w:p>
            <w:r>
              <w:rPr>
                <w:b w:val="false"/>
                <w:bCs w:val="false"/>
                <w:sz w:val="19"/>
                <w:szCs w:val="19"/>
              </w:rPr>
              <w:t xml:space="preserve">MaxHR</w:t>
            </w:r>
          </w:p>
        </w:tc>
        <w:tc>
          <w:tcPr>
            <w:tcW w:type="dxa" w:w="2800"/>
          </w:tcPr>
          <w:p>
            <w:r>
              <w:rPr>
                <w:b w:val="false"/>
                <w:bCs w:val="false"/>
                <w:sz w:val="19"/>
                <w:szCs w:val="19"/>
              </w:rPr>
              <w:t xml:space="preserve">MaxHeartRate</w:t>
            </w:r>
          </w:p>
        </w:tc>
        <w:tc>
          <w:tcPr>
            <w:tcW w:type="dxa" w:w="4000"/>
          </w:tcPr>
          <w:p>
            <w:r>
              <w:rPr>
                <w:b w:val="false"/>
                <w:bCs w:val="false"/>
                <w:sz w:val="19"/>
                <w:szCs w:val="19"/>
              </w:rPr>
              <w:t xml:space="preserve">Spelled out for readability, consistent with the rest of the renamed columns.</w:t>
            </w:r>
          </w:p>
        </w:tc>
      </w:tr>
    </w:tbl>
    <w:p>
      <w:pPr>
        <w:pStyle w:val="Heading1"/>
        <w:spacing w:after="150" w:before="300"/>
      </w:pPr>
      <w:r>
        <w:t xml:space="preserve">5. Feature Encoding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DCE6F1" w:val="clear"/>
          </w:tcPr>
          <w:p>
            <w:r>
              <w:rPr>
                <w:b/>
                <w:bCs/>
                <w:sz w:val="19"/>
                <w:szCs w:val="19"/>
              </w:rPr>
              <w:t xml:space="preserve">Technique</w:t>
            </w:r>
          </w:p>
        </w:tc>
        <w:tc>
          <w:tcPr>
            <w:tcW w:type="dxa" w:w="3200"/>
            <w:shd w:fill="DCE6F1" w:val="clear"/>
          </w:tcPr>
          <w:p>
            <w:r>
              <w:rPr>
                <w:b/>
                <w:bCs/>
                <w:sz w:val="19"/>
                <w:szCs w:val="19"/>
              </w:rPr>
              <w:t xml:space="preserve">Columns Applied To</w:t>
            </w:r>
          </w:p>
        </w:tc>
        <w:tc>
          <w:tcPr>
            <w:tcW w:type="dxa" w:w="3600"/>
            <w:shd w:fill="DCE6F1" w:val="clear"/>
          </w:tcPr>
          <w:p>
            <w:r>
              <w:rPr>
                <w:b/>
                <w:bCs/>
                <w:sz w:val="19"/>
                <w:szCs w:val="19"/>
              </w:rPr>
              <w:t xml:space="preserve">Justification</w:t>
            </w:r>
          </w:p>
        </w:tc>
      </w:tr>
      <w:tr>
        <w:tc>
          <w:tcPr>
            <w:tcW w:type="dxa" w:w="2200"/>
          </w:tcPr>
          <w:p>
            <w:r>
              <w:rPr>
                <w:b w:val="false"/>
                <w:bCs w:val="false"/>
                <w:sz w:val="19"/>
                <w:szCs w:val="19"/>
              </w:rPr>
              <w:t xml:space="preserve">Label Encoding</w:t>
            </w:r>
          </w:p>
        </w:tc>
        <w:tc>
          <w:tcPr>
            <w:tcW w:type="dxa" w:w="3200"/>
          </w:tcPr>
          <w:p>
            <w:r>
              <w:rPr>
                <w:b w:val="false"/>
                <w:bCs w:val="false"/>
                <w:sz w:val="19"/>
                <w:szCs w:val="19"/>
              </w:rPr>
              <w:t xml:space="preserve">Sex, ExerciseAngina</w:t>
            </w:r>
          </w:p>
        </w:tc>
        <w:tc>
          <w:tcPr>
            <w:tcW w:type="dxa" w:w="3600"/>
          </w:tcPr>
          <w:p>
            <w:r>
              <w:rPr>
                <w:b w:val="false"/>
                <w:bCs w:val="false"/>
                <w:sz w:val="19"/>
                <w:szCs w:val="19"/>
              </w:rPr>
              <w:t xml:space="preserve">Both are strictly binary (2 categories). A single 0/1 column captures the full distinction with no risk of implying a false order, since order isn't even a meaningful concept with only two options.</w:t>
            </w:r>
          </w:p>
        </w:tc>
      </w:tr>
      <w:tr>
        <w:tc>
          <w:tcPr>
            <w:tcW w:type="dxa" w:w="2200"/>
          </w:tcPr>
          <w:p>
            <w:r>
              <w:rPr>
                <w:b w:val="false"/>
                <w:bCs w:val="false"/>
                <w:sz w:val="19"/>
                <w:szCs w:val="19"/>
              </w:rPr>
              <w:t xml:space="preserve">One-Hot Encoding</w:t>
            </w:r>
          </w:p>
        </w:tc>
        <w:tc>
          <w:tcPr>
            <w:tcW w:type="dxa" w:w="3200"/>
          </w:tcPr>
          <w:p>
            <w:r>
              <w:rPr>
                <w:b w:val="false"/>
                <w:bCs w:val="false"/>
                <w:sz w:val="19"/>
                <w:szCs w:val="19"/>
              </w:rPr>
              <w:t xml:space="preserve">ChestPainType, RestingECG, ST_Slope, AgeGroup</w:t>
            </w:r>
          </w:p>
        </w:tc>
        <w:tc>
          <w:tcPr>
            <w:tcW w:type="dxa" w:w="3600"/>
          </w:tcPr>
          <w:p>
            <w:r>
              <w:rPr>
                <w:b w:val="false"/>
                <w:bCs w:val="false"/>
                <w:sz w:val="19"/>
                <w:szCs w:val="19"/>
              </w:rPr>
              <w:t xml:space="preserve">Each has 3+ unordered categories. Label encoding these would have wrongly implied a numeric order/distance between categories that doesn't exist in reality (e.g. that one chest pain type is 'between' two others).</w:t>
            </w:r>
          </w:p>
        </w:tc>
      </w:tr>
    </w:tbl>
    <w:p>
      <w:pPr>
        <w:spacing w:after="160"/>
      </w:pPr>
      <w:r>
        <w:t xml:space="preserve">One-hot encoding was applied with drop_first=True to avoid the dummy variable trap — keeping all categories as separate columns creates perfect multicollinearity, since the last category is always fully predictable from the others. Boolean output from pandas' get_dummies was explicitly converted to integer 0/1, since some tools downstream expect numeric rather than boolean columns.</w:t>
      </w:r>
    </w:p>
    <w:p>
      <w:pPr>
        <w:pStyle w:val="Heading1"/>
        <w:spacing w:after="150" w:before="300"/>
      </w:pPr>
      <w:r>
        <w:t xml:space="preserve">6. Feature Scaling</w:t>
      </w:r>
    </w:p>
    <w:p>
      <w:pPr>
        <w:spacing w:after="160"/>
      </w:pPr>
      <w:r>
        <w:t xml:space="preserve">StandardScaler was applied to: Age, RestingBP, Cholesterol, MaxHeartRate, ST_Depression, and RiskFactorCount.</w:t>
      </w:r>
    </w:p>
    <w:p>
      <w:pPr>
        <w:pStyle w:val="ListParagraph"/>
        <w:numPr>
          <w:ilvl w:val="0"/>
          <w:numId w:val="1"/>
        </w:numPr>
        <w:spacing w:after="80"/>
      </w:pPr>
      <w:r>
        <w:t xml:space="preserve">Most of these numeric columns are roughly bell-shaped once the disguised missing values were fixed — exactly the situation StandardScaler is designed for (centres on the mean, scales to unit variance).</w:t>
      </w:r>
    </w:p>
    <w:p>
      <w:pPr>
        <w:pStyle w:val="ListParagraph"/>
        <w:numPr>
          <w:ilvl w:val="0"/>
          <w:numId w:val="1"/>
        </w:numPr>
        <w:spacing w:after="80"/>
      </w:pPr>
      <w:r>
        <w:t xml:space="preserve">Several models that would plausibly be trained next on this dataset (logistic regression, SVM, KNN) are sensitive to features sitting on very different scales. Cholesterol runs into the hundreds while ST_Depression mostly sits under 3 — without scaling, Cholesterol would dominate any distance-based calculation purely because of the size of its numbers, not because it's actually more predictive.</w:t>
      </w:r>
    </w:p>
    <w:p>
      <w:pPr>
        <w:pStyle w:val="ListParagraph"/>
        <w:numPr>
          <w:ilvl w:val="0"/>
          <w:numId w:val="1"/>
        </w:numPr>
        <w:spacing w:after="80"/>
      </w:pPr>
      <w:r>
        <w:t xml:space="preserve">MinMaxScaler was not chosen because it's more sensitive to whatever sits at the boundary of the data, even after capping. RobustScaler was not chosen because outliers were already explicitly handled through capping in Section 7 — RobustScaler is the stronger choice specifically when outliers haven't been dealt with separately.</w:t>
      </w:r>
    </w:p>
    <w:p>
      <w:pPr>
        <w:pStyle w:val="ListParagraph"/>
        <w:numPr>
          <w:ilvl w:val="0"/>
          <w:numId w:val="1"/>
        </w:numPr>
        <w:spacing w:after="80"/>
      </w:pPr>
      <w:r>
        <w:t xml:space="preserve">Binary and one-hot columns, plus the target column, were deliberately excluded from scaling — scaling a 0/1 flag doesn't carry any meaning and just makes the dataset harder to read.</w:t>
      </w:r>
    </w:p>
    <w:p>
      <w:pPr>
        <w:pStyle w:val="Heading1"/>
        <w:spacing w:after="150" w:before="300"/>
      </w:pPr>
      <w:r>
        <w:t xml:space="preserve">7. Outlier Detection &amp; Treatment</w:t>
      </w:r>
    </w:p>
    <w:p>
      <w:pPr>
        <w:spacing w:after="160"/>
      </w:pPr>
      <w:r>
        <w:t xml:space="preserve">The IQR method was used as the primary detection technique, cross-checked against the boxplots built during exploration. IQR was chosen over a z-score approach because several of these clinical variables are skewed rather than symmetric, and z-score assumes roughly-normal data — it gets thrown off by skew in a way IQR doesn't.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800"/>
      </w:tblGrid>
      <w:tr>
        <w:tc>
          <w:tcPr>
            <w:tcW w:type="dxa" w:w="2000"/>
            <w:shd w:fill="DCE6F1" w:val="clear"/>
          </w:tcPr>
          <w:p>
            <w:r>
              <w:rPr>
                <w:b/>
                <w:bCs/>
                <w:sz w:val="19"/>
                <w:szCs w:val="19"/>
              </w:rPr>
              <w:t xml:space="preserve">Column</w:t>
            </w:r>
          </w:p>
        </w:tc>
        <w:tc>
          <w:tcPr>
            <w:tcW w:type="dxa" w:w="2000"/>
            <w:shd w:fill="DCE6F1" w:val="clear"/>
          </w:tcPr>
          <w:p>
            <w:r>
              <w:rPr>
                <w:b/>
                <w:bCs/>
                <w:sz w:val="19"/>
                <w:szCs w:val="19"/>
              </w:rPr>
              <w:t xml:space="preserve">IQR Outliers Found</w:t>
            </w:r>
          </w:p>
        </w:tc>
        <w:tc>
          <w:tcPr>
            <w:tcW w:type="dxa" w:w="2000"/>
            <w:shd w:fill="DCE6F1" w:val="clear"/>
          </w:tcPr>
          <w:p>
            <w:r>
              <w:rPr>
                <w:b/>
                <w:bCs/>
                <w:sz w:val="19"/>
                <w:szCs w:val="19"/>
              </w:rPr>
              <w:t xml:space="preserve">Decision</w:t>
            </w:r>
          </w:p>
        </w:tc>
        <w:tc>
          <w:tcPr>
            <w:tcW w:type="dxa" w:w="3800"/>
            <w:shd w:fill="DCE6F1" w:val="clear"/>
          </w:tcPr>
          <w:p>
            <w:r>
              <w:rPr>
                <w:b/>
                <w:bCs/>
                <w:sz w:val="19"/>
                <w:szCs w:val="19"/>
              </w:rPr>
              <w:t xml:space="preserve">Reasoning</w:t>
            </w:r>
          </w:p>
        </w:tc>
      </w:tr>
      <w:tr>
        <w:tc>
          <w:tcPr>
            <w:tcW w:type="dxa" w:w="2000"/>
          </w:tcPr>
          <w:p>
            <w:r>
              <w:rPr>
                <w:b w:val="false"/>
                <w:bCs w:val="false"/>
                <w:sz w:val="19"/>
                <w:szCs w:val="19"/>
              </w:rPr>
              <w:t xml:space="preserve">RestingBP</w:t>
            </w:r>
          </w:p>
        </w:tc>
        <w:tc>
          <w:tcPr>
            <w:tcW w:type="dxa" w:w="2000"/>
          </w:tcPr>
          <w:p>
            <w:r>
              <w:rPr>
                <w:b w:val="false"/>
                <w:bCs w:val="false"/>
                <w:sz w:val="19"/>
                <w:szCs w:val="19"/>
              </w:rPr>
              <w:t xml:space="preserve">Small number, high end</w:t>
            </w:r>
          </w:p>
        </w:tc>
        <w:tc>
          <w:tcPr>
            <w:tcW w:type="dxa" w:w="2000"/>
          </w:tcPr>
          <w:p>
            <w:r>
              <w:rPr>
                <w:b w:val="false"/>
                <w:bCs w:val="false"/>
                <w:sz w:val="19"/>
                <w:szCs w:val="19"/>
              </w:rPr>
              <w:t xml:space="preserve">Capped (winsorized)</w:t>
            </w:r>
          </w:p>
        </w:tc>
        <w:tc>
          <w:tcPr>
            <w:tcW w:type="dxa" w:w="3800"/>
          </w:tcPr>
          <w:p>
            <w:r>
              <w:rPr>
                <w:b w:val="false"/>
                <w:bCs w:val="false"/>
                <w:sz w:val="19"/>
                <w:szCs w:val="19"/>
              </w:rPr>
              <w:t xml:space="preserve">Readings of 170-200 reflect real severe hypertension, not data errors — worth keeping the signal, not the full extreme weight.</w:t>
            </w:r>
          </w:p>
        </w:tc>
      </w:tr>
      <w:tr>
        <w:tc>
          <w:tcPr>
            <w:tcW w:type="dxa" w:w="2000"/>
          </w:tcPr>
          <w:p>
            <w:r>
              <w:rPr>
                <w:b w:val="false"/>
                <w:bCs w:val="false"/>
                <w:sz w:val="19"/>
                <w:szCs w:val="19"/>
              </w:rPr>
              <w:t xml:space="preserve">Cholesterol</w:t>
            </w:r>
          </w:p>
        </w:tc>
        <w:tc>
          <w:tcPr>
            <w:tcW w:type="dxa" w:w="2000"/>
          </w:tcPr>
          <w:p>
            <w:r>
              <w:rPr>
                <w:b w:val="false"/>
                <w:bCs w:val="false"/>
                <w:sz w:val="19"/>
                <w:szCs w:val="19"/>
              </w:rPr>
              <w:t xml:space="preserve">Present, high end</w:t>
            </w:r>
          </w:p>
        </w:tc>
        <w:tc>
          <w:tcPr>
            <w:tcW w:type="dxa" w:w="2000"/>
          </w:tcPr>
          <w:p>
            <w:r>
              <w:rPr>
                <w:b w:val="false"/>
                <w:bCs w:val="false"/>
                <w:sz w:val="19"/>
                <w:szCs w:val="19"/>
              </w:rPr>
              <w:t xml:space="preserve">Capped (winsorized)</w:t>
            </w:r>
          </w:p>
        </w:tc>
        <w:tc>
          <w:tcPr>
            <w:tcW w:type="dxa" w:w="3800"/>
          </w:tcPr>
          <w:p>
            <w:r>
              <w:rPr>
                <w:b w:val="false"/>
                <w:bCs w:val="false"/>
                <w:sz w:val="19"/>
                <w:szCs w:val="19"/>
              </w:rPr>
              <w:t xml:space="preserve">Very high cholesterol is a real and clinically important condition, not noise.</w:t>
            </w:r>
          </w:p>
        </w:tc>
      </w:tr>
      <w:tr>
        <w:tc>
          <w:tcPr>
            <w:tcW w:type="dxa" w:w="2000"/>
          </w:tcPr>
          <w:p>
            <w:r>
              <w:rPr>
                <w:b w:val="false"/>
                <w:bCs w:val="false"/>
                <w:sz w:val="19"/>
                <w:szCs w:val="19"/>
              </w:rPr>
              <w:t xml:space="preserve">ST_Depression</w:t>
            </w:r>
          </w:p>
        </w:tc>
        <w:tc>
          <w:tcPr>
            <w:tcW w:type="dxa" w:w="2000"/>
          </w:tcPr>
          <w:p>
            <w:r>
              <w:rPr>
                <w:b w:val="false"/>
                <w:bCs w:val="false"/>
                <w:sz w:val="19"/>
                <w:szCs w:val="19"/>
              </w:rPr>
              <w:t xml:space="preserve">Present, high end</w:t>
            </w:r>
          </w:p>
        </w:tc>
        <w:tc>
          <w:tcPr>
            <w:tcW w:type="dxa" w:w="2000"/>
          </w:tcPr>
          <w:p>
            <w:r>
              <w:rPr>
                <w:b w:val="false"/>
                <w:bCs w:val="false"/>
                <w:sz w:val="19"/>
                <w:szCs w:val="19"/>
              </w:rPr>
              <w:t xml:space="preserve">Capped (winsorized)</w:t>
            </w:r>
          </w:p>
        </w:tc>
        <w:tc>
          <w:tcPr>
            <w:tcW w:type="dxa" w:w="3800"/>
          </w:tcPr>
          <w:p>
            <w:r>
              <w:rPr>
                <w:b w:val="false"/>
                <w:bCs w:val="false"/>
                <w:sz w:val="19"/>
                <w:szCs w:val="19"/>
              </w:rPr>
              <w:t xml:space="preserve">Reflects genuine (if unusual) exercise test results.</w:t>
            </w:r>
          </w:p>
        </w:tc>
      </w:tr>
      <w:tr>
        <w:tc>
          <w:tcPr>
            <w:tcW w:type="dxa" w:w="2000"/>
          </w:tcPr>
          <w:p>
            <w:r>
              <w:rPr>
                <w:b w:val="false"/>
                <w:bCs w:val="false"/>
                <w:sz w:val="19"/>
                <w:szCs w:val="19"/>
              </w:rPr>
              <w:t xml:space="preserve">Age</w:t>
            </w:r>
          </w:p>
        </w:tc>
        <w:tc>
          <w:tcPr>
            <w:tcW w:type="dxa" w:w="2000"/>
          </w:tcPr>
          <w:p>
            <w:r>
              <w:rPr>
                <w:b w:val="false"/>
                <w:bCs w:val="false"/>
                <w:sz w:val="19"/>
                <w:szCs w:val="19"/>
              </w:rPr>
              <w:t xml:space="preserve">None flagged</w:t>
            </w:r>
          </w:p>
        </w:tc>
        <w:tc>
          <w:tcPr>
            <w:tcW w:type="dxa" w:w="2000"/>
          </w:tcPr>
          <w:p>
            <w:r>
              <w:rPr>
                <w:b w:val="false"/>
                <w:bCs w:val="false"/>
                <w:sz w:val="19"/>
                <w:szCs w:val="19"/>
              </w:rPr>
              <w:t xml:space="preserve">No action needed</w:t>
            </w:r>
          </w:p>
        </w:tc>
        <w:tc>
          <w:tcPr>
            <w:tcW w:type="dxa" w:w="3800"/>
          </w:tcPr>
          <w:p>
            <w:r>
              <w:rPr>
                <w:b w:val="false"/>
                <w:bCs w:val="false"/>
                <w:sz w:val="19"/>
                <w:szCs w:val="19"/>
              </w:rPr>
              <w:t xml:space="preserve">—</w:t>
            </w:r>
          </w:p>
        </w:tc>
      </w:tr>
      <w:tr>
        <w:tc>
          <w:tcPr>
            <w:tcW w:type="dxa" w:w="2000"/>
          </w:tcPr>
          <w:p>
            <w:r>
              <w:rPr>
                <w:b w:val="false"/>
                <w:bCs w:val="false"/>
                <w:sz w:val="19"/>
                <w:szCs w:val="19"/>
              </w:rPr>
              <w:t xml:space="preserve">MaxHeartRate</w:t>
            </w:r>
          </w:p>
        </w:tc>
        <w:tc>
          <w:tcPr>
            <w:tcW w:type="dxa" w:w="2000"/>
          </w:tcPr>
          <w:p>
            <w:r>
              <w:rPr>
                <w:b w:val="false"/>
                <w:bCs w:val="false"/>
                <w:sz w:val="19"/>
                <w:szCs w:val="19"/>
              </w:rPr>
              <w:t xml:space="preserve">None flagged</w:t>
            </w:r>
          </w:p>
        </w:tc>
        <w:tc>
          <w:tcPr>
            <w:tcW w:type="dxa" w:w="2000"/>
          </w:tcPr>
          <w:p>
            <w:r>
              <w:rPr>
                <w:b w:val="false"/>
                <w:bCs w:val="false"/>
                <w:sz w:val="19"/>
                <w:szCs w:val="19"/>
              </w:rPr>
              <w:t xml:space="preserve">No action needed</w:t>
            </w:r>
          </w:p>
        </w:tc>
        <w:tc>
          <w:tcPr>
            <w:tcW w:type="dxa" w:w="3800"/>
          </w:tcPr>
          <w:p>
            <w:r>
              <w:rPr>
                <w:b w:val="false"/>
                <w:bCs w:val="false"/>
                <w:sz w:val="19"/>
                <w:szCs w:val="19"/>
              </w:rPr>
              <w:t xml:space="preserve">—</w:t>
            </w:r>
          </w:p>
        </w:tc>
      </w:tr>
    </w:tbl>
    <w:p>
      <w:pPr>
        <w:spacing w:after="160"/>
      </w:pPr>
      <w:r>
        <w:t xml:space="preserve">No rows were deleted at any point. With only 918 patients to start with, deleting genuinely unusual (but real) patients would shrink an already modest dataset and risk biasing it toward 'typical' cases — exactly the unusual patients a health-screening model most needs exposure to.</w:t>
      </w:r>
    </w:p>
    <w:p>
      <w:pPr>
        <w:pStyle w:val="Heading1"/>
        <w:spacing w:after="150" w:before="300"/>
      </w:pPr>
      <w:r>
        <w:t xml:space="preserve">8. Feature Selection</w:t>
      </w:r>
    </w:p>
    <w:p>
      <w:pPr>
        <w:pStyle w:val="Heading2"/>
        <w:spacing w:after="100" w:before="220"/>
      </w:pPr>
      <w:r>
        <w:t xml:space="preserve">8.1 Correlation With the Target</w:t>
      </w:r>
    </w:p>
    <w:p>
      <w:pPr>
        <w:spacing w:after="160"/>
      </w:pPr>
      <w:r>
        <w:t xml:space="preserve">ST_Slope_Up, ExerciseAngina, ST_Depression, and ChestPainType_ATA showed the strongest correlation with HeartDisease, consistent with the patterns already visible in the bar charts and boxplots built during exploration.</w:t>
      </w:r>
    </w:p>
    <w:p>
      <w:pPr>
        <w:pStyle w:val="Heading2"/>
        <w:spacing w:after="100" w:before="220"/>
      </w:pPr>
      <w:r>
        <w:t xml:space="preserve">8.2 Feature-to-Feature Redundancy</w:t>
      </w:r>
    </w:p>
    <w:p>
      <w:pPr>
        <w:spacing w:after="160"/>
      </w:pPr>
      <w:r>
        <w:t xml:space="preserve">No feature pairs exceeded a correlation of 0.7 with each other. No column was dropped on redundancy grounds beyond the intermediate binned columns already removed in Section 4.</w:t>
      </w:r>
    </w:p>
    <w:p>
      <w:pPr>
        <w:pStyle w:val="Heading2"/>
        <w:spacing w:after="100" w:before="220"/>
      </w:pPr>
      <w:r>
        <w:t xml:space="preserve">8.3 Random Forest Feature Importance</w:t>
      </w:r>
    </w:p>
    <w:p>
      <w:pPr>
        <w:spacing w:after="160"/>
      </w:pPr>
      <w:r>
        <w:t xml:space="preserve">A Random Forest classifier (300 trees) was fit purely to rank feature importance, not to serve as the final model. ST_Slope_Up, ChestPainType_ASY, ST_Depression, MaxHeartRate, and ExerciseAngina came out on top — the same set of features that correlation analysis and the earlier visualisations had already flagged. Two independent methods agreeing gave much more confidence in these features than either method alone.</w:t>
      </w:r>
    </w:p>
    <w:p>
      <w:pPr>
        <w:pStyle w:val="Heading2"/>
        <w:spacing w:after="100" w:before="220"/>
      </w:pPr>
      <w:r>
        <w:t xml:space="preserve">8.4 Final Decision</w:t>
      </w:r>
    </w:p>
    <w:p>
      <w:pPr>
        <w:spacing w:after="160"/>
      </w:pPr>
      <w:r>
        <w:t xml:space="preserve">No columns were dropped at this stage. Every remaining feature carried at least some independent correlation with the target and no pair showed problematic redundancy. RiskFactorCount scored relatively low on importance individually (expected, since it summarises columns the model can already see directly), but was retained since it costs nothing to include and may still help simpler models that can't naturally learn that kind of interaction on their own.</w:t>
      </w:r>
    </w:p>
    <w:p>
      <w:pPr>
        <w:pStyle w:val="Heading1"/>
        <w:spacing w:after="150" w:before="300"/>
      </w:pPr>
      <w:r>
        <w:t xml:space="preserve">9. Key Observations</w:t>
      </w:r>
    </w:p>
    <w:p>
      <w:pPr>
        <w:pStyle w:val="ListParagraph"/>
        <w:numPr>
          <w:ilvl w:val="0"/>
          <w:numId w:val="1"/>
        </w:numPr>
        <w:spacing w:after="80"/>
      </w:pPr>
      <w:r>
        <w:t xml:space="preserve">The dataset looked perfectly clean by pandas' isnull() check, but wasn't — nearly 1 in 5 patients had a disguised missing value in Cholesterol. This was the single biggest data quality finding of the week.</w:t>
      </w:r>
    </w:p>
    <w:p>
      <w:pPr>
        <w:pStyle w:val="ListParagraph"/>
        <w:numPr>
          <w:ilvl w:val="0"/>
          <w:numId w:val="1"/>
        </w:numPr>
        <w:spacing w:after="80"/>
      </w:pPr>
      <w:r>
        <w:t xml:space="preserve">The target variable was reasonably balanced (55.3% / 44.7%), unlike the more skewed attrition target from Week 1, which simplifies future model evaluation.</w:t>
      </w:r>
    </w:p>
    <w:p>
      <w:pPr>
        <w:pStyle w:val="ListParagraph"/>
        <w:numPr>
          <w:ilvl w:val="0"/>
          <w:numId w:val="1"/>
        </w:numPr>
        <w:spacing w:after="80"/>
      </w:pPr>
      <w:r>
        <w:t xml:space="preserve">ASY (asymptomatic) chest pain showed the highest heart disease rate of any chest pain category, which lines up with known real-world patterns around silent presentation.</w:t>
      </w:r>
    </w:p>
    <w:p>
      <w:pPr>
        <w:pStyle w:val="ListParagraph"/>
        <w:numPr>
          <w:ilvl w:val="0"/>
          <w:numId w:val="1"/>
        </w:numPr>
        <w:spacing w:after="80"/>
      </w:pPr>
      <w:r>
        <w:t xml:space="preserve">Two independent feature-ranking approaches (correlation, Random Forest importance) converged on largely the same top features, which is a strong signal those features are genuinely informative rather than coincidental.</w:t>
      </w:r>
    </w:p>
    <w:p>
      <w:pPr>
        <w:pStyle w:val="Heading1"/>
        <w:spacing w:after="150" w:before="300"/>
      </w:pPr>
      <w:r>
        <w:t xml:space="preserve">10. Final Deliverables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800"/>
      </w:tblGrid>
      <w:tr>
        <w:tc>
          <w:tcPr>
            <w:tcW w:type="dxa" w:w="3200"/>
            <w:shd w:fill="DCE6F1" w:val="clear"/>
          </w:tcPr>
          <w:p>
            <w:r>
              <w:rPr>
                <w:b/>
                <w:bCs/>
                <w:sz w:val="19"/>
                <w:szCs w:val="19"/>
              </w:rPr>
              <w:t xml:space="preserve">File</w:t>
            </w:r>
          </w:p>
        </w:tc>
        <w:tc>
          <w:tcPr>
            <w:tcW w:type="dxa" w:w="2600"/>
            <w:shd w:fill="DCE6F1" w:val="clear"/>
          </w:tcPr>
          <w:p>
            <w:r>
              <w:rPr>
                <w:b/>
                <w:bCs/>
                <w:sz w:val="19"/>
                <w:szCs w:val="19"/>
              </w:rPr>
              <w:t xml:space="preserve">Shape</w:t>
            </w:r>
          </w:p>
        </w:tc>
        <w:tc>
          <w:tcPr>
            <w:tcW w:type="dxa" w:w="4800"/>
            <w:shd w:fill="DCE6F1" w:val="clear"/>
          </w:tcPr>
          <w:p>
            <w:r>
              <w:rPr>
                <w:b/>
                <w:bCs/>
                <w:sz w:val="19"/>
                <w:szCs w:val="19"/>
              </w:rPr>
              <w:t xml:space="preserve">Description</w:t>
            </w:r>
          </w:p>
        </w:tc>
      </w:tr>
      <w:tr>
        <w:tc>
          <w:tcPr>
            <w:tcW w:type="dxa" w:w="3200"/>
          </w:tcPr>
          <w:p>
            <w:r>
              <w:rPr>
                <w:b w:val="false"/>
                <w:bCs w:val="false"/>
                <w:sz w:val="19"/>
                <w:szCs w:val="19"/>
              </w:rPr>
              <w:t xml:space="preserve">heart_cleaned.csv</w:t>
            </w:r>
          </w:p>
        </w:tc>
        <w:tc>
          <w:tcPr>
            <w:tcW w:type="dxa" w:w="2600"/>
          </w:tcPr>
          <w:p>
            <w:r>
              <w:rPr>
                <w:b w:val="false"/>
                <w:bCs w:val="false"/>
                <w:sz w:val="19"/>
                <w:szCs w:val="19"/>
              </w:rPr>
              <w:t xml:space="preserve">918 rows × 12 columns</w:t>
            </w:r>
          </w:p>
        </w:tc>
        <w:tc>
          <w:tcPr>
            <w:tcW w:type="dxa" w:w="4800"/>
          </w:tcPr>
          <w:p>
            <w:r>
              <w:rPr>
                <w:b w:val="false"/>
                <w:bCs w:val="false"/>
                <w:sz w:val="19"/>
                <w:szCs w:val="19"/>
              </w:rPr>
              <w:t xml:space="preserve">Missing values fixed, still human-readable (text categories, unscaled numbers).</w:t>
            </w:r>
          </w:p>
        </w:tc>
      </w:tr>
      <w:tr>
        <w:tc>
          <w:tcPr>
            <w:tcW w:type="dxa" w:w="3200"/>
          </w:tcPr>
          <w:p>
            <w:r>
              <w:rPr>
                <w:b w:val="false"/>
                <w:bCs w:val="false"/>
                <w:sz w:val="19"/>
                <w:szCs w:val="19"/>
              </w:rPr>
              <w:t xml:space="preserve">heart_ml_ready.csv</w:t>
            </w:r>
          </w:p>
        </w:tc>
        <w:tc>
          <w:tcPr>
            <w:tcW w:type="dxa" w:w="2600"/>
          </w:tcPr>
          <w:p>
            <w:r>
              <w:rPr>
                <w:b w:val="false"/>
                <w:bCs w:val="false"/>
                <w:sz w:val="19"/>
                <w:szCs w:val="19"/>
              </w:rPr>
              <w:t xml:space="preserve">918 rows × 20 columns</w:t>
            </w:r>
          </w:p>
        </w:tc>
        <w:tc>
          <w:tcPr>
            <w:tcW w:type="dxa" w:w="4800"/>
          </w:tcPr>
          <w:p>
            <w:r>
              <w:rPr>
                <w:b w:val="false"/>
                <w:bCs w:val="false"/>
                <w:sz w:val="19"/>
                <w:szCs w:val="19"/>
              </w:rPr>
              <w:t xml:space="preserve">Fully encoded, scaled, outlier-treated, and feature-engineered — ready for model training.</w:t>
            </w:r>
          </w:p>
        </w:tc>
      </w:tr>
    </w:tbl>
    <w:p>
      <w:pPr>
        <w:spacing w:after="160"/>
      </w:pPr>
      <w:r>
        <w:t xml:space="preserve">Both files, along with the full notebook documenting every step and decision, are included in this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2026-08-13T22:09:36.467Z</dcterms:created>
  <dcterms:modified xsi:type="dcterms:W3CDTF">2026-08-13T22:09:36.467Z</dcterms:modified>
</cp:coreProperties>
</file>

<file path=docProps/custom.xml><?xml version="1.0" encoding="utf-8"?>
<Properties xmlns="http://schemas.openxmlformats.org/officeDocument/2006/custom-properties" xmlns:vt="http://schemas.openxmlformats.org/officeDocument/2006/docPropsVTypes"/>
</file>