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22"/>
          <w:szCs w:val="22"/>
        </w:rPr>
        <w:t xml:space="preserve">ANALYSTLAB AFRICA</w:t>
      </w:r>
    </w:p>
    <w:p>
      <w:pPr>
        <w:spacing w:after="200"/>
        <w:jc w:val="center"/>
      </w:pPr>
      <w:r>
        <w:rPr>
          <w:i/>
          <w:iCs/>
          <w:color w:val="595959"/>
          <w:sz w:val="18"/>
          <w:szCs w:val="18"/>
        </w:rPr>
        <w:t xml:space="preserve">Data Science Internship Programme</w:t>
      </w:r>
    </w:p>
    <w:p>
      <w:pPr>
        <w:spacing w:after="60"/>
        <w:jc w:val="center"/>
      </w:pPr>
      <w:r>
        <w:rPr>
          <w:b/>
          <w:bCs/>
          <w:sz w:val="32"/>
          <w:szCs w:val="32"/>
        </w:rPr>
        <w:t xml:space="preserve">Business Insights and Recommendations Report</w:t>
      </w:r>
    </w:p>
    <w:p>
      <w:pPr>
        <w:spacing w:after="300"/>
        <w:jc w:val="center"/>
      </w:pPr>
      <w:r>
        <w:rPr>
          <w:b/>
          <w:bCs/>
          <w:color w:val="C08A2E"/>
          <w:sz w:val="22"/>
          <w:szCs w:val="22"/>
        </w:rPr>
        <w:t xml:space="preserve">Employee Wellness Screening — Heart Disease Risk Analysis</w:t>
      </w:r>
    </w:p>
    <w:p>
      <w:pPr>
        <w:spacing w:after="400"/>
        <w:jc w:val="center"/>
      </w:pPr>
      <w:r>
        <w:rPr>
          <w:color w:val="595959"/>
          <w:sz w:val="18"/>
          <w:szCs w:val="18"/>
        </w:rPr>
        <w:t xml:space="preserve">Prepared by AnalystLab Africa Consulting  |  Week 3  |  August 2026</w:t>
      </w:r>
    </w:p>
    <w:p>
      <w:pPr>
        <w:pStyle w:val="Heading1"/>
        <w:spacing w:after="160" w:before="320"/>
      </w:pPr>
      <w:r>
        <w:rPr>
          <w:color w:val="1F3864"/>
        </w:rPr>
        <w:t xml:space="preserve">Executive Summary</w:t>
      </w:r>
    </w:p>
    <w:p>
      <w:pPr>
        <w:spacing w:after="160" w:line="276"/>
      </w:pPr>
      <w:r>
        <w:t xml:space="preserve">ABC Manufacturing Ltd is exploring an employee wellness and occupational health screening initiative, using the IBM/Kaggle Heart Disease Prediction dataset as a stand-in for real patient data while the underlying analytical approach is validated. This phase moved past the cleaning and preprocessing completed in Week 2 into deeper statistical testing, feature engineering and feature evaluation — the direct groundwork for the predictive model due in Week 4.</w:t>
      </w:r>
    </w:p>
    <w:p>
      <w:pPr>
        <w:spacing w:after="160" w:line="276"/>
      </w:pPr>
      <w:r>
        <w:t xml:space="preserve">Six statistical tests, all significant, confirmed that a small set of clinical measurements — chest pain presentation, exercise-induced angina, ST depression under exercise (Oldpeak), and max heart rate — carry strong, genuine relationships with heart disease status in this dataset, not chance patterns. One of those relationships (chest pain type) was re-encoded into a new ordinal feature that turned out to be the single strongest engineered predictor found this week. Two other engineered features were built, tested, and honestly dropped once the evidence showed they added no real value. The result is a smaller, better-justified final dataset ready to hand to Week 4.</w:t>
      </w:r>
    </w:p>
    <w:p>
      <w:pPr>
        <w:pStyle w:val="Heading1"/>
        <w:spacing w:after="160" w:before="320"/>
      </w:pPr>
      <w:r>
        <w:rPr>
          <w:color w:val="1F3864"/>
        </w:rPr>
        <w:t xml:space="preserve">Key Analytical Findings</w:t>
      </w:r>
    </w:p>
    <w:p>
      <w:pPr>
        <w:pStyle w:val="Heading2"/>
        <w:spacing w:after="120" w:before="240"/>
      </w:pPr>
      <w:r>
        <w:rPr>
          <w:color w:val="1F3864"/>
        </w:rPr>
        <w:t xml:space="preserve">Important Patterns</w:t>
      </w:r>
    </w:p>
    <w:p>
      <w:pPr>
        <w:pStyle w:val="ListParagraph"/>
        <w:numPr>
          <w:ilvl w:val="0"/>
          <w:numId w:val="1"/>
        </w:numPr>
        <w:spacing w:after="90" w:line="276"/>
      </w:pPr>
      <w:r>
        <w:t xml:space="preserve">Heart disease rate is not evenly spread across chest pain presentations — it ranges from 13.9% (ATA) to 79.0% (ASY), a roughly 5.7-fold difference, and the pattern is cleanly ordered rather than random.</w:t>
      </w:r>
    </w:p>
    <w:p>
      <w:pPr>
        <w:pStyle w:val="ListParagraph"/>
        <w:numPr>
          <w:ilvl w:val="0"/>
          <w:numId w:val="1"/>
        </w:numPr>
        <w:spacing w:after="90" w:line="276"/>
      </w:pPr>
      <w:r>
        <w:t xml:space="preserve">Over half of all patients (54%) presented with ASY — asymptomatic — chest pain, meaning the majority of at-risk patients in this dataset did not show a textbook chest pain symptom at all.</w:t>
      </w:r>
    </w:p>
    <w:p>
      <w:pPr>
        <w:pStyle w:val="ListParagraph"/>
        <w:numPr>
          <w:ilvl w:val="0"/>
          <w:numId w:val="1"/>
        </w:numPr>
        <w:spacing w:after="90" w:line="276"/>
      </w:pPr>
      <w:r>
        <w:t xml:space="preserve">Men in this sample have a heart disease rate more than double that of women (63.2% vs 25.9%), though the sample itself is heavily skewed toward male patients (725 vs 193), which tempers how far this specific gap should be generalised.</w:t>
      </w:r>
    </w:p>
    <w:p>
      <w:pPr>
        <w:pStyle w:val="Heading2"/>
        <w:spacing w:after="120" w:before="240"/>
      </w:pPr>
      <w:r>
        <w:rPr>
          <w:color w:val="1F3864"/>
        </w:rPr>
        <w:t xml:space="preserve">Significant Statistical Findings</w:t>
      </w:r>
    </w:p>
    <w:p>
      <w:pPr>
        <w:pStyle w:val="ListParagraph"/>
        <w:numPr>
          <w:ilvl w:val="0"/>
          <w:numId w:val="1"/>
        </w:numPr>
        <w:spacing w:after="90" w:line="276"/>
      </w:pPr>
      <w:r>
        <w:t xml:space="preserve">Patients with heart disease reach a significantly lower max heart rate under exercise (median 126 bpm vs 150 bpm, p ≈ 1.5×10⁻³⁴) and show significantly more ST depression (median Oldpeak 1.2 vs 0.0, p ≈ 6.8×10⁻³⁷).</w:t>
      </w:r>
    </w:p>
    <w:p>
      <w:pPr>
        <w:pStyle w:val="ListParagraph"/>
        <w:numPr>
          <w:ilvl w:val="0"/>
          <w:numId w:val="1"/>
        </w:numPr>
        <w:spacing w:after="90" w:line="276"/>
      </w:pPr>
      <w:r>
        <w:t xml:space="preserve">Chest pain type (p ≈ 8.1×10⁻⁵⁸, Cramer's V = 0.54) and exercise-induced angina (p ≈ 2.9×10⁻⁵⁰, φ = 0.49) both show large, practically important associations with heart disease — not just statistically detectable ones.</w:t>
      </w:r>
    </w:p>
    <w:p>
      <w:pPr>
        <w:pStyle w:val="ListParagraph"/>
        <w:numPr>
          <w:ilvl w:val="0"/>
          <w:numId w:val="1"/>
        </w:numPr>
        <w:spacing w:after="90" w:line="276"/>
      </w:pPr>
      <w:r>
        <w:t xml:space="preserve">Cholesterol differs significantly across chest pain groups (p ≈ 0.0002) but the effect is small in practical terms — group medians sit within about 14 mg/dl of each other.</w:t>
      </w:r>
    </w:p>
    <w:p>
      <w:pPr>
        <w:pStyle w:val="Heading2"/>
        <w:spacing w:after="120" w:before="240"/>
      </w:pPr>
      <w:r>
        <w:rPr>
          <w:color w:val="1F3864"/>
        </w:rPr>
        <w:t xml:space="preserve">Key Relationships</w:t>
      </w:r>
    </w:p>
    <w:p>
      <w:pPr>
        <w:pStyle w:val="ListParagraph"/>
        <w:numPr>
          <w:ilvl w:val="0"/>
          <w:numId w:val="1"/>
        </w:numPr>
        <w:spacing w:after="90" w:line="276"/>
      </w:pPr>
      <w:r>
        <w:t xml:space="preserve">A combined "double warning sign" — exercise-induced angina together with above-median ST depression — flags a heart disease rate of 89.5%, compared with 40.0% when neither or only one sign is present.</w:t>
      </w:r>
    </w:p>
    <w:p>
      <w:pPr>
        <w:pStyle w:val="ListParagraph"/>
        <w:numPr>
          <w:ilvl w:val="0"/>
          <w:numId w:val="1"/>
        </w:numPr>
        <w:spacing w:after="90" w:line="276"/>
      </w:pPr>
      <w:r>
        <w:t xml:space="preserve">No two original numeric variables in the dataset are meaningfully collinear (all correlations under roughly ±0.4), confirming Week 2's decision to keep every original numeric column was sound.</w:t>
      </w:r>
    </w:p>
    <w:p>
      <w:pPr>
        <w:pStyle w:val="Heading2"/>
        <w:spacing w:after="120" w:before="240"/>
      </w:pPr>
      <w:r>
        <w:rPr>
          <w:color w:val="1F3864"/>
        </w:rPr>
        <w:t xml:space="preserve">Important Feature Insights</w:t>
      </w:r>
    </w:p>
    <w:p>
      <w:pPr>
        <w:pStyle w:val="ListParagraph"/>
        <w:numPr>
          <w:ilvl w:val="0"/>
          <w:numId w:val="1"/>
        </w:numPr>
        <w:spacing w:after="90" w:line="276"/>
      </w:pPr>
      <w:r>
        <w:t xml:space="preserve">Re-encoding chest pain type as a single ordinal risk score (ChestPainRiskRank), based on its observed monotonic relationship with heart disease, produced the strongest engineered feature of the week — correlating with the target more strongly than any raw numeric column, and ranking 3rd of 14 candidate features by Random Forest importance.</w:t>
      </w:r>
    </w:p>
    <w:p>
      <w:pPr>
        <w:pStyle w:val="ListParagraph"/>
        <w:numPr>
          <w:ilvl w:val="0"/>
          <w:numId w:val="1"/>
        </w:numPr>
        <w:spacing w:after="90" w:line="276"/>
      </w:pPr>
      <w:r>
        <w:t xml:space="preserve">Two engineered features that seemed promising in isolation were dropped once cross-checked against the columns they were built from: an age-adjusted heart rate reserve score turned out to be almost a direct restatement of max heart rate (r = −0.93), and a cholesterol-to-age ratio actually reversed the direction of cholesterol's relationship with heart disease once age's own strong influence was accounted for.</w:t>
      </w:r>
    </w:p>
    <w:p>
      <w:pPr>
        <w:pStyle w:val="Heading1"/>
        <w:spacing w:after="160" w:before="320"/>
      </w:pPr>
      <w:r>
        <w:rPr>
          <w:color w:val="1F3864"/>
        </w:rPr>
        <w:t xml:space="preserve">Business Implications</w:t>
      </w:r>
    </w:p>
    <w:p>
      <w:pPr>
        <w:spacing w:after="160" w:line="276"/>
      </w:pPr>
      <w:r>
        <w:t xml:space="preserve">For ABC Manufacturing Ltd's wellness screening initiative, the practical takeaway is that a small, low-cost set of measurements — chest pain presentation, whether exercise triggers angina, ST depression on a basic exercise test, and max heart rate reached — carries most of the useful risk signal in this dataset. None of these require expensive or invasive testing, which matters for a screening programme intended to run across an entire workforce rather than a small clinical sample.</w:t>
      </w:r>
    </w:p>
    <w:p>
      <w:pPr>
        <w:spacing w:after="160" w:line="276"/>
      </w:pPr>
      <w:r>
        <w:t xml:space="preserve">The finding that most heart-disease-positive patients in this dataset did not present with obvious chest pain (the ASY category) has a direct operational implication: a screening approach that only flags employees who self-report chest pain risks missing the majority of at-risk individuals. A structured, symptom-independent screening step is likely to catch more genuine risk than relying on employees to report discomfort.</w:t>
      </w:r>
    </w:p>
    <w:p>
      <w:pPr>
        <w:spacing w:after="160" w:line="276"/>
      </w:pPr>
      <w:r>
        <w:t xml:space="preserve">The sex-based gap in heart disease rate is worth flagging to HR leadership as something to monitor rather than act on directly at this stage — the dataset's female sample is small enough (193 of 918 patients) that the true size of any sex-based difference in ABC Manufacturing Ltd's actual workforce cannot be confidently estimated from this data alone.</w:t>
      </w:r>
    </w:p>
    <w:p>
      <w:pPr>
        <w:pStyle w:val="Heading1"/>
        <w:spacing w:after="160" w:before="320"/>
      </w:pPr>
      <w:r>
        <w:rPr>
          <w:color w:val="1F3864"/>
        </w:rPr>
        <w:t xml:space="preserve">Recommendations</w:t>
      </w:r>
    </w:p>
    <w:p>
      <w:pPr>
        <w:pStyle w:val="ListParagraph"/>
        <w:numPr>
          <w:ilvl w:val="0"/>
          <w:numId w:val="1"/>
        </w:numPr>
        <w:spacing w:after="90" w:line="276"/>
      </w:pPr>
      <w:r>
        <w:t xml:space="preserve">Prioritise the four clinical measurements identified above (chest pain presentation, exercise-induced angina, ST depression, max heart rate) as the core data points for any pilot wellness screening — they are inexpensive to collect and carry the strongest, statistically validated signal.</w:t>
      </w:r>
    </w:p>
    <w:p>
      <w:pPr>
        <w:pStyle w:val="ListParagraph"/>
        <w:numPr>
          <w:ilvl w:val="0"/>
          <w:numId w:val="1"/>
        </w:numPr>
        <w:spacing w:after="90" w:line="276"/>
      </w:pPr>
      <w:r>
        <w:t xml:space="preserve">Design the screening process to actively check for risk indicators in asymptomatic employees, rather than relying on self-reported chest pain as an entry criterion, given how large a share of at-risk patients in this dataset presented without it.</w:t>
      </w:r>
    </w:p>
    <w:p>
      <w:pPr>
        <w:pStyle w:val="ListParagraph"/>
        <w:numPr>
          <w:ilvl w:val="0"/>
          <w:numId w:val="1"/>
        </w:numPr>
        <w:spacing w:after="90" w:line="276"/>
      </w:pPr>
      <w:r>
        <w:t xml:space="preserve">Carry the ChestPainRiskRank and ExertionRiskFlag engineered features into Week 4's model development — both are backed by strong, independently-confirmed evidence of predictive value.</w:t>
      </w:r>
    </w:p>
    <w:p>
      <w:pPr>
        <w:pStyle w:val="ListParagraph"/>
        <w:numPr>
          <w:ilvl w:val="0"/>
          <w:numId w:val="1"/>
        </w:numPr>
        <w:spacing w:after="90" w:line="276"/>
      </w:pPr>
      <w:r>
        <w:t xml:space="preserve">Track model performance separately by sex once real employee data is available, given the scale of the sex-based gap observed here and the limited female sample size behind it.</w:t>
      </w:r>
    </w:p>
    <w:p>
      <w:pPr>
        <w:pStyle w:val="ListParagraph"/>
        <w:numPr>
          <w:ilvl w:val="0"/>
          <w:numId w:val="1"/>
        </w:numPr>
        <w:spacing w:after="90" w:line="276"/>
      </w:pPr>
      <w:r>
        <w:t xml:space="preserve">Treat this analysis as a methodology validation exercise, not a source of medical conclusions about ABC Manufacturing Ltd's actual employees — the next real step is applying the same pipeline to genuine, consented workforce health data under appropriate medical and data-privacy governance.</w:t>
      </w:r>
    </w:p>
    <w:p>
      <w:pPr>
        <w:pStyle w:val="Heading1"/>
        <w:spacing w:after="160" w:before="320"/>
      </w:pPr>
      <w:r>
        <w:rPr>
          <w:color w:val="1F3864"/>
        </w:rPr>
        <w:t xml:space="preserve">Dataset Limitations</w:t>
      </w:r>
    </w:p>
    <w:p>
      <w:pPr>
        <w:pStyle w:val="ListParagraph"/>
        <w:numPr>
          <w:ilvl w:val="0"/>
          <w:numId w:val="1"/>
        </w:numPr>
        <w:spacing w:after="90" w:line="276"/>
      </w:pPr>
      <w:r>
        <w:t xml:space="preserve">Sample size: 918 patients is workable for the statistical tests performed here, but modest for building a model expected to generalise well across a large, varied workforce.</w:t>
      </w:r>
    </w:p>
    <w:p>
      <w:pPr>
        <w:pStyle w:val="ListParagraph"/>
        <w:numPr>
          <w:ilvl w:val="0"/>
          <w:numId w:val="1"/>
        </w:numPr>
        <w:spacing w:after="90" w:line="276"/>
      </w:pPr>
      <w:r>
        <w:t xml:space="preserve">Sex imbalance: 79% of the sample is male, which limits how confidently any sex-based finding can be generalised.</w:t>
      </w:r>
    </w:p>
    <w:p>
      <w:pPr>
        <w:pStyle w:val="ListParagraph"/>
        <w:numPr>
          <w:ilvl w:val="0"/>
          <w:numId w:val="1"/>
        </w:numPr>
        <w:spacing w:after="90" w:line="276"/>
      </w:pPr>
      <w:r>
        <w:t xml:space="preserve">Synthetic-for-purpose data: this is a public clinical dataset, not ABC Manufacturing Ltd's actual employee data — it stands in for the analytical approach, not for the company's real risk profile.</w:t>
      </w:r>
    </w:p>
    <w:p>
      <w:pPr>
        <w:pStyle w:val="ListParagraph"/>
        <w:numPr>
          <w:ilvl w:val="0"/>
          <w:numId w:val="1"/>
        </w:numPr>
        <w:spacing w:after="90" w:line="276"/>
      </w:pPr>
      <w:r>
        <w:t xml:space="preserve">Cross-sectional, not longitudinal: the dataset captures a single point-in-time snapshot per patient, so it can't speak to how risk factors change over an employee's tenure.</w:t>
      </w:r>
    </w:p>
    <w:p>
      <w:pPr>
        <w:pStyle w:val="ListParagraph"/>
        <w:numPr>
          <w:ilvl w:val="0"/>
          <w:numId w:val="1"/>
        </w:numPr>
        <w:spacing w:after="90" w:line="276"/>
      </w:pPr>
      <w:r>
        <w:t xml:space="preserve">Residual measurement noise: even after Week 2's correction of the disguised Cholesterol zeros, some measurement error in self-reported or single-visit clinical readings should be assumed.</w:t>
      </w:r>
    </w:p>
    <w:p>
      <w:pPr>
        <w:pStyle w:val="Heading1"/>
        <w:spacing w:after="160" w:before="320"/>
      </w:pPr>
      <w:r>
        <w:rPr>
          <w:color w:val="1F3864"/>
        </w:rPr>
        <w:t xml:space="preserve">Next Steps</w:t>
      </w:r>
    </w:p>
    <w:p>
      <w:pPr>
        <w:spacing w:after="160" w:line="276"/>
      </w:pPr>
      <w:r>
        <w:t xml:space="preserve">The refined dataset produced this week (heart_final_modelling_dataset.csv) carries forward every feature that tested as statistically meaningful, in a fully encoded and scaled form, and drops nothing without a documented reason. It is one column smaller than Week 2's ML-ready file despite the additions, because collapsing chest pain type's one-hot columns into a single, better-performing ordinal feature more than offset the columns added this week.</w:t>
      </w:r>
    </w:p>
    <w:p>
      <w:pPr>
        <w:spacing w:after="160" w:line="276"/>
      </w:pPr>
      <w:r>
        <w:t xml:space="preserve">For Week 4, this dataset is ready to support the training and comparison of candidate classification models (e.g. logistic regression as an interpretable baseline, and a tree-based model such as Random Forest or gradient boosting for comparison), with particular attention to the class balance already noted in Week 2 (55.3% / 44.7%), the four highest-value features identified this week, and evaluation metrics that go beyond raw accuracy — precision, recall and ROC-AUC — given the real-world cost asymmetry between missing a true at-risk employee and over-flagging a healthy 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2026-08-21T09:40:29.131Z</dcterms:created>
  <dcterms:modified xsi:type="dcterms:W3CDTF">2026-08-21T09:40:29.132Z</dcterms:modified>
</cp:coreProperties>
</file>

<file path=docProps/custom.xml><?xml version="1.0" encoding="utf-8"?>
<Properties xmlns="http://schemas.openxmlformats.org/officeDocument/2006/custom-properties" xmlns:vt="http://schemas.openxmlformats.org/officeDocument/2006/docPropsVTypes"/>
</file>