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22"/>
          <w:szCs w:val="22"/>
        </w:rPr>
        <w:t xml:space="preserve">ANALYSTLAB AFRICA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Data Science Internship Programme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Feature Engineering Documentation</w:t>
      </w:r>
    </w:p>
    <w:p>
      <w:pPr>
        <w:spacing w:after="300"/>
        <w:jc w:val="center"/>
      </w:pPr>
      <w:r>
        <w:rPr>
          <w:b/>
          <w:bCs/>
          <w:color w:val="C08A2E"/>
          <w:sz w:val="22"/>
          <w:szCs w:val="22"/>
        </w:rPr>
        <w:t xml:space="preserve">Employee Wellness Screening — Heart Disease Risk Analysis</w:t>
      </w:r>
    </w:p>
    <w:p>
      <w:pPr>
        <w:spacing w:after="400"/>
        <w:jc w:val="center"/>
      </w:pPr>
      <w:r>
        <w:rPr>
          <w:color w:val="595959"/>
          <w:sz w:val="18"/>
          <w:szCs w:val="18"/>
        </w:rPr>
        <w:t xml:space="preserve">Prepared by AnalystLab Africa Consulting  |  Week 3  |  August 2026</w:t>
      </w:r>
    </w:p>
    <w:p>
      <w:pPr>
        <w:pStyle w:val="Heading1"/>
        <w:spacing w:after="160" w:before="320"/>
      </w:pPr>
      <w:r>
        <w:rPr>
          <w:color w:val="1F3864"/>
        </w:rPr>
        <w:t xml:space="preserve">1. Overview</w:t>
      </w:r>
    </w:p>
    <w:p>
      <w:pPr>
        <w:spacing w:after="160" w:line="276"/>
      </w:pPr>
      <w:r>
        <w:t xml:space="preserve">Five new features were engineered this week, each one built directly from a pattern surfaced during Advanced EDA or confirmed in the Statistical Analysis Summary — none were created speculatively. Every feature was tested against the target variable and against the columns it was built from immediately after creation, following the same evidence-based standard applied to the original Week 2 features. Three of the five earned a permanent place in the final modelling dataset; two were built, tested, and honestly documented as dropped once the evidence showed they added no independent value. Both outcomes are recorded here in full — the Feature Evaluation and Selection Summary covers the retain/drop reasoning in more depth.</w:t>
      </w:r>
    </w:p>
    <w:p>
      <w:pPr>
        <w:pStyle w:val="Heading1"/>
        <w:spacing w:after="160" w:before="320"/>
      </w:pPr>
      <w:r>
        <w:rPr>
          <w:color w:val="1F3864"/>
        </w:rPr>
        <w:t xml:space="preserve">2. Engineered Features</w:t>
      </w:r>
    </w:p>
    <w:p>
      <w:pPr>
        <w:pStyle w:val="Heading2"/>
        <w:spacing w:after="120" w:before="240"/>
      </w:pPr>
      <w:r>
        <w:rPr>
          <w:color w:val="1F3864"/>
        </w:rPr>
        <w:t xml:space="preserve">2.1 ChestPainRiskRank — Ordinal Risk Ranking of Chest Pain Type</w:t>
      </w:r>
    </w:p>
    <w:p>
      <w:pPr>
        <w:spacing w:after="160" w:line="276"/>
      </w:pPr>
      <w:r>
        <w:rPr>
          <w:b/>
          <w:bCs/>
        </w:rPr>
        <w:t xml:space="preserve">How it was created: </w:t>
      </w:r>
      <w:r>
        <w:t xml:space="preserve">The four ChestPainType categories were ordered by their observed heart disease rate (ATA 13.9% → NAP 35.5% → TA 43.5% → ASY 79.0%, from Test 3) and re-encoded as a single ordinal column from 0 (lowest risk) to 3 (highest risk).</w:t>
      </w:r>
    </w:p>
    <w:p>
      <w:pPr>
        <w:spacing w:after="160" w:line="276"/>
      </w:pPr>
      <w:r>
        <w:rPr>
          <w:b/>
          <w:bCs/>
        </w:rPr>
        <w:t xml:space="preserve">Why it was created: </w:t>
      </w:r>
      <w:r>
        <w:t xml:space="preserve">Test 3 showed heart disease rate rises in a clear, monotonic step pattern across chest pain categories. One-hot encoding — the Week 2 default for unordered categoricals — treats all four categories as equally different from one another and throws away that ordering entirely.</w:t>
      </w:r>
    </w:p>
    <w:p>
      <w:pPr>
        <w:spacing w:after="160" w:line="276"/>
      </w:pPr>
      <w:r>
        <w:rPr>
          <w:b/>
          <w:bCs/>
        </w:rPr>
        <w:t xml:space="preserve">Business meaning: </w:t>
      </w:r>
      <w:r>
        <w:t xml:space="preserve">A single "chest pain severity score" that a nurse or screening tool could read directly, lowest to highest observed risk.</w:t>
      </w:r>
    </w:p>
    <w:p>
      <w:pPr>
        <w:spacing w:after="160" w:line="276"/>
      </w:pPr>
      <w:r>
        <w:rPr>
          <w:b/>
          <w:bCs/>
        </w:rPr>
        <w:t xml:space="preserve">Potential analytical / modelling value: </w:t>
      </w:r>
      <w:r>
        <w:t xml:space="preserve">Very high. Point-biserial correlation with HeartDisease of r = 0.537 — stronger than any raw numeric variable in the dataset — and ranked 3rd of 14 candidate features in the Random Forest importance check, just behind the two ST_Slope indicators.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color w:val="1F3864"/>
        </w:rPr>
        <w:t xml:space="preserve">2.2 ExertionRiskFlag — Combined Exercise-Stress Risk Indicator</w:t>
      </w:r>
    </w:p>
    <w:p>
      <w:pPr>
        <w:spacing w:after="160" w:line="276"/>
      </w:pPr>
      <w:r>
        <w:rPr>
          <w:b/>
          <w:bCs/>
        </w:rPr>
        <w:t xml:space="preserve">How it was created: </w:t>
      </w:r>
      <w:r>
        <w:t xml:space="preserve">A binary flag set to 1 only when a patient shows both exercise-induced angina (ExerciseAngina = 'Y') and an above-median Oldpeak reading — two independent stress-test warning signs firing together.</w:t>
      </w:r>
    </w:p>
    <w:p>
      <w:pPr>
        <w:spacing w:after="160" w:line="276"/>
      </w:pPr>
      <w:r>
        <w:rPr>
          <w:b/>
          <w:bCs/>
        </w:rPr>
        <w:t xml:space="preserve">Why it was created: </w:t>
      </w:r>
      <w:r>
        <w:t xml:space="preserve">Tests 2 and 4 each confirmed these variables matter individually, but neither captures what happens when both signs appear in the same patient at once — exactly the kind of interaction a plain linear model can't discover from the two source columns without being told to look for it.</w:t>
      </w:r>
    </w:p>
    <w:p>
      <w:pPr>
        <w:spacing w:after="160" w:line="276"/>
      </w:pPr>
      <w:r>
        <w:rPr>
          <w:b/>
          <w:bCs/>
        </w:rPr>
        <w:t xml:space="preserve">Business meaning: </w:t>
      </w:r>
      <w:r>
        <w:t xml:space="preserve">A simple "double warning sign" flag a screening nurse could act on immediately without interpreting two separate numbers.</w:t>
      </w:r>
    </w:p>
    <w:p>
      <w:pPr>
        <w:spacing w:after="160" w:line="276"/>
      </w:pPr>
      <w:r>
        <w:rPr>
          <w:b/>
          <w:bCs/>
        </w:rPr>
        <w:t xml:space="preserve">Potential analytical / modelling value: </w:t>
      </w:r>
      <w:r>
        <w:t xml:space="preserve">High for interpretability and standalone signal — 89.5% heart disease rate when the flag fires vs. 40.0% when it doesn't (Cramer's V = 0.46). Retained despite correlating with its own source columns (see Feature Evaluation Summary).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color w:val="1F3864"/>
        </w:rPr>
        <w:t xml:space="preserve">2.3 BPCategory — Clinical Blood Pressure Bands</w:t>
      </w:r>
    </w:p>
    <w:p>
      <w:pPr>
        <w:spacing w:after="160" w:line="276"/>
      </w:pPr>
      <w:r>
        <w:rPr>
          <w:b/>
          <w:bCs/>
        </w:rPr>
        <w:t xml:space="preserve">How it was created: </w:t>
      </w:r>
      <w:r>
        <w:t xml:space="preserve">RestingBP binned into standard clinical categories: Normal (&lt;120), Elevated (120-129), Stage 1 Hypertension (130-139), Stage 2 Hypertension (140+).</w:t>
      </w:r>
    </w:p>
    <w:p>
      <w:pPr>
        <w:spacing w:after="160" w:line="276"/>
      </w:pPr>
      <w:r>
        <w:rPr>
          <w:b/>
          <w:bCs/>
        </w:rPr>
        <w:t xml:space="preserve">Why it was created: </w:t>
      </w:r>
      <w:r>
        <w:t xml:space="preserve">Raw resting blood pressure in mmHg means little to a non-clinical HR audience; these bands are the language health screening guidelines and doctors actually use.</w:t>
      </w:r>
    </w:p>
    <w:p>
      <w:pPr>
        <w:spacing w:after="160" w:line="276"/>
      </w:pPr>
      <w:r>
        <w:rPr>
          <w:b/>
          <w:bCs/>
        </w:rPr>
        <w:t xml:space="preserve">Business meaning: </w:t>
      </w:r>
      <w:r>
        <w:t xml:space="preserve">Lets HR count how many employees fall into each risk band directly, e.g. for targeting wellness-programme outreach.</w:t>
      </w:r>
    </w:p>
    <w:p>
      <w:pPr>
        <w:spacing w:after="160" w:line="276"/>
      </w:pPr>
      <w:r>
        <w:rPr>
          <w:b/>
          <w:bCs/>
        </w:rPr>
        <w:t xml:space="preserve">Potential analytical / modelling value: </w:t>
      </w:r>
      <w:r>
        <w:t xml:space="preserve">Moderate. Statistically associated with HeartDisease (χ² = 12.03, p = 0.007) — the weakest of the significant associations found this week, and, as a coarsened version of RestingBP, retained for reporting only rather than carried into the ML-ready encoded dataset (see Feature Evaluation Summary).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color w:val="1F3864"/>
        </w:rPr>
        <w:t xml:space="preserve">2.4 HRReserveDeficit — Age-Adjusted Heart Rate Reserve</w:t>
      </w:r>
    </w:p>
    <w:p>
      <w:pPr>
        <w:spacing w:after="160" w:line="276"/>
      </w:pPr>
      <w:r>
        <w:rPr>
          <w:b/>
          <w:bCs/>
        </w:rPr>
        <w:t xml:space="preserve">How it was created: </w:t>
      </w:r>
      <w:r>
        <w:t xml:space="preserve">Computed as (220 − Age) − MaxHR, using the standard "220 minus age" estimate of age-predicted maximum heart rate, minus the patient's actual observed MaxHR.</w:t>
      </w:r>
    </w:p>
    <w:p>
      <w:pPr>
        <w:spacing w:after="160" w:line="276"/>
      </w:pPr>
      <w:r>
        <w:rPr>
          <w:b/>
          <w:bCs/>
        </w:rPr>
        <w:t xml:space="preserve">Why it was created: </w:t>
      </w:r>
      <w:r>
        <w:t xml:space="preserve">The Age-vs-MaxHR scatter plot in Advanced EDA showed disease-positive patients sitting systematically below the general age-related downward trend — the intent was to isolate a "worse than expected for your age" signal that raw MaxHR blends together with age.</w:t>
      </w:r>
    </w:p>
    <w:p>
      <w:pPr>
        <w:spacing w:after="160" w:line="276"/>
      </w:pPr>
      <w:r>
        <w:rPr>
          <w:b/>
          <w:bCs/>
        </w:rPr>
        <w:t xml:space="preserve">Business meaning: </w:t>
      </w:r>
      <w:r>
        <w:t xml:space="preserve">Intended as a fitness-for-age score flagging unusually low exercise capacity once age is accounted for.</w:t>
      </w:r>
    </w:p>
    <w:p>
      <w:pPr>
        <w:spacing w:after="160" w:line="276"/>
      </w:pPr>
      <w:r>
        <w:rPr>
          <w:b/>
          <w:bCs/>
        </w:rPr>
        <w:t xml:space="preserve">Potential analytical / modelling value: </w:t>
      </w:r>
      <w:r>
        <w:t xml:space="preserve">Tested and not retained. See Section 3 below and the Feature Evaluation and Selection Summary — this feature turned out to be almost entirely a restatement of MaxHR.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color w:val="1F3864"/>
        </w:rPr>
        <w:t xml:space="preserve">2.5 CholesterolAgeRatio — Cholesterol Relative to Age</w:t>
      </w:r>
    </w:p>
    <w:p>
      <w:pPr>
        <w:spacing w:after="160" w:line="276"/>
      </w:pPr>
      <w:r>
        <w:rPr>
          <w:b/>
          <w:bCs/>
        </w:rPr>
        <w:t xml:space="preserve">How it was created: </w:t>
      </w:r>
      <w:r>
        <w:t xml:space="preserve">Computed as Cholesterol ÷ Age.</w:t>
      </w:r>
    </w:p>
    <w:p>
      <w:pPr>
        <w:spacing w:after="160" w:line="276"/>
      </w:pPr>
      <w:r>
        <w:rPr>
          <w:b/>
          <w:bCs/>
        </w:rPr>
        <w:t xml:space="preserve">Why it was created: </w:t>
      </w:r>
      <w:r>
        <w:t xml:space="preserve">Intended to normalise cholesterol readings for how much time a patient has had to accumulate them — a given reading arguably means something different in a 30-year-old than a 60-year-old.</w:t>
      </w:r>
    </w:p>
    <w:p>
      <w:pPr>
        <w:spacing w:after="160" w:line="276"/>
      </w:pPr>
      <w:r>
        <w:rPr>
          <w:b/>
          <w:bCs/>
        </w:rPr>
        <w:t xml:space="preserve">Business meaning: </w:t>
      </w:r>
      <w:r>
        <w:t xml:space="preserve">A rough "cholesterol relative to life stage" indicator.</w:t>
      </w:r>
    </w:p>
    <w:p>
      <w:pPr>
        <w:spacing w:after="160" w:line="276"/>
      </w:pPr>
      <w:r>
        <w:rPr>
          <w:b/>
          <w:bCs/>
        </w:rPr>
        <w:t xml:space="preserve">Potential analytical / modelling value: </w:t>
      </w:r>
      <w:r>
        <w:t xml:space="preserve">Tested and not retained. See Section 3 below — dividing by Age introduced a confound that flipped the direction of the feature's relationship with the target relative to raw Cholesterol.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color w:val="1F3864"/>
        </w:rPr>
        <w:t xml:space="preserve">3. Features Created but Not Retained</w:t>
      </w:r>
    </w:p>
    <w:p>
      <w:pPr>
        <w:spacing w:after="160" w:line="276"/>
      </w:pPr>
      <w:r>
        <w:t xml:space="preserve">Both of the following were built with a sound rationale and are documented in full rather than quietly removed, because the reasoning behind why they didn't work is itself a useful finding.</w:t>
      </w:r>
    </w:p>
    <w:p>
      <w:pPr>
        <w:pStyle w:val="Heading2"/>
        <w:spacing w:after="120" w:before="240"/>
      </w:pPr>
      <w:r>
        <w:rPr>
          <w:color w:val="1F3864"/>
        </w:rPr>
        <w:t xml:space="preserve">HRReserveDeficit</w:t>
      </w:r>
    </w:p>
    <w:p>
      <w:pPr>
        <w:spacing w:after="160" w:line="276"/>
      </w:pPr>
      <w:r>
        <w:t xml:space="preserve">Its correlation with HeartDisease looked promising in isolation (r = 0.320, p ≈ 2.5×10⁻²³). But checking it against its own source columns showed a correlation of just 0.01 with Age and −0.93 with MaxHR — meaning the "age adjustment" barely adjusted for age at all. The feature is, in practice, almost a direct restatement of MaxHR with the sign flipped. Keeping both would add a near-duplicate column and inflate multicollinearity in any linear model without contributing new information.</w:t>
      </w:r>
    </w:p>
    <w:p>
      <w:pPr>
        <w:pStyle w:val="Heading2"/>
        <w:spacing w:after="120" w:before="240"/>
      </w:pPr>
      <w:r>
        <w:rPr>
          <w:color w:val="1F3864"/>
        </w:rPr>
        <w:t xml:space="preserve">CholesterolAgeRatio</w:t>
      </w:r>
    </w:p>
    <w:p>
      <w:pPr>
        <w:spacing w:after="160" w:line="276"/>
      </w:pPr>
      <w:r>
        <w:t xml:space="preserve">This is the more instructive of the two. Its correlation with HeartDisease came out negative (r = −0.108), while raw Cholesterol's correlation with the same target is positive (r = 0.085). Dividing by Age didn't simply dilute the signal — it reversed its direction, because Age has such a strong relationship with both the numerator and the target that dividing by it distorts more than it normalises. Carrying this feature forward into a model or a stakeholder-facing chart risked communicating the opposite of what the underlying data actually shows.</w:t>
      </w:r>
    </w:p>
    <w:p>
      <w:pPr>
        <w:pStyle w:val="Heading1"/>
        <w:spacing w:after="160" w:before="320"/>
      </w:pPr>
      <w:r>
        <w:rPr>
          <w:color w:val="1F3864"/>
        </w:rPr>
        <w:t xml:space="preserve">4. Summary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4060"/>
      </w:tblGrid>
      <w:t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0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Retained in Final ML Dataset?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ChestPainRiskRank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Ordinal (0-3)</w:t>
            </w:r>
          </w:p>
        </w:tc>
        <w:tc>
          <w:tcPr>
            <w:tcW w:type="dxa" w:w="4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 — replaces ChestPainType one-hot columns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ExertionRiskFlag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Binary</w:t>
            </w:r>
          </w:p>
        </w:tc>
        <w:tc>
          <w:tcPr>
            <w:tcW w:type="dxa" w:w="40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BPCategory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Categorical (4 levels)</w:t>
            </w:r>
          </w:p>
        </w:tc>
        <w:tc>
          <w:tcPr>
            <w:tcW w:type="dxa" w:w="4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Retained in refined dataset for reporting; excluded from ML-ready encoding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HRReserveDeficit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W w:type="dxa" w:w="40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— dropped (redundant with MaxHR)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CholesterolAgeRatio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Numeric ratio</w:t>
            </w:r>
          </w:p>
        </w:tc>
        <w:tc>
          <w:tcPr>
            <w:tcW w:type="dxa" w:w="4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— dropped (confounded, sign-flipped vs. Cholesterol)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t xml:space="preserve">This satisfies the minimum requirement of at least three meaningful engineered features comfortably, while keeping an honest record of the two that didn't make the cut and exactly why.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2026-08-21T09:39:20.699Z</dcterms:created>
  <dcterms:modified xsi:type="dcterms:W3CDTF">2026-08-21T09:39:20.699Z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