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22"/>
          <w:szCs w:val="22"/>
        </w:rPr>
        <w:t xml:space="preserve">ANALYSTLAB AFRICA</w:t>
      </w:r>
    </w:p>
    <w:p>
      <w:pPr>
        <w:spacing w:after="200"/>
        <w:jc w:val="center"/>
      </w:pPr>
      <w:r>
        <w:rPr>
          <w:i/>
          <w:iCs/>
          <w:color w:val="595959"/>
          <w:sz w:val="18"/>
          <w:szCs w:val="18"/>
        </w:rPr>
        <w:t xml:space="preserve">Data Science Internship Programme</w:t>
      </w:r>
    </w:p>
    <w:p>
      <w:pPr>
        <w:spacing w:after="60"/>
        <w:jc w:val="center"/>
      </w:pPr>
      <w:r>
        <w:rPr>
          <w:b/>
          <w:bCs/>
          <w:sz w:val="32"/>
          <w:szCs w:val="32"/>
        </w:rPr>
        <w:t xml:space="preserve">Feature Evaluation and Selection Summary</w:t>
      </w:r>
    </w:p>
    <w:p>
      <w:pPr>
        <w:spacing w:after="300"/>
        <w:jc w:val="center"/>
      </w:pPr>
      <w:r>
        <w:rPr>
          <w:b/>
          <w:bCs/>
          <w:color w:val="C08A2E"/>
          <w:sz w:val="22"/>
          <w:szCs w:val="22"/>
        </w:rPr>
        <w:t xml:space="preserve">Employee Wellness Screening — Heart Disease Risk Analysis</w:t>
      </w:r>
    </w:p>
    <w:p>
      <w:pPr>
        <w:spacing w:after="400"/>
        <w:jc w:val="center"/>
      </w:pPr>
      <w:r>
        <w:rPr>
          <w:color w:val="595959"/>
          <w:sz w:val="18"/>
          <w:szCs w:val="18"/>
        </w:rPr>
        <w:t xml:space="preserve">Prepared by AnalystLab Africa Consulting  |  Week 3  |  August 2026</w:t>
      </w:r>
    </w:p>
    <w:p>
      <w:pPr>
        <w:pStyle w:val="Heading1"/>
        <w:spacing w:after="160" w:before="320"/>
      </w:pPr>
      <w:r>
        <w:rPr>
          <w:color w:val="1F3864"/>
        </w:rPr>
        <w:t xml:space="preserve">1. Purpose</w:t>
      </w:r>
    </w:p>
    <w:p>
      <w:pPr>
        <w:spacing w:after="160" w:line="276"/>
      </w:pPr>
      <w:r>
        <w:t xml:space="preserve">This document evaluates both the original Week 2 features and the five features engineered this week, to decide which variables carry genuine, independent information for Week 4's predictive model. Per the assignment brief, no feature was removed simply for being correlated with another — every retention or removal decision below is backed by specific evidence: a correlation value, a statistical test result, or a Random Forest importance score computed purely as a ranking tool for this evaluation.</w:t>
      </w:r>
    </w:p>
    <w:p>
      <w:pPr>
        <w:pStyle w:val="Heading1"/>
        <w:spacing w:after="160" w:before="320"/>
      </w:pPr>
      <w:r>
        <w:rPr>
          <w:color w:val="1F3864"/>
        </w:rPr>
        <w:t xml:space="preserve">2. Method</w:t>
      </w:r>
    </w:p>
    <w:p>
      <w:pPr>
        <w:pStyle w:val="ListParagraph"/>
        <w:numPr>
          <w:ilvl w:val="0"/>
          <w:numId w:val="1"/>
        </w:numPr>
        <w:spacing w:after="90" w:line="276"/>
      </w:pPr>
      <w:r>
        <w:t xml:space="preserve">Correlation matrix across all original numeric features plus the five newly engineered candidates, screened for any pair exceeding |r| = 0.7.</w:t>
      </w:r>
    </w:p>
    <w:p>
      <w:pPr>
        <w:pStyle w:val="ListParagraph"/>
        <w:numPr>
          <w:ilvl w:val="0"/>
          <w:numId w:val="1"/>
        </w:numPr>
        <w:spacing w:after="90" w:line="276"/>
      </w:pPr>
      <w:r>
        <w:t xml:space="preserve">A Random Forest classifier (300 trees, fixed random seed) fit purely to rank feature importance — not used as, or intended to be, the actual predictive model delivered in Week 4.</w:t>
      </w:r>
    </w:p>
    <w:p>
      <w:pPr>
        <w:pStyle w:val="ListParagraph"/>
        <w:numPr>
          <w:ilvl w:val="0"/>
          <w:numId w:val="1"/>
        </w:numPr>
        <w:spacing w:after="90" w:line="276"/>
      </w:pPr>
      <w:r>
        <w:t xml:space="preserve">Direct comparison of each engineered feature's relationship with the target against the relationship of the raw column(s) it was built from, to check whether the engineering step added information or simply repackaged it.</w:t>
      </w:r>
    </w:p>
    <w:p>
      <w:pPr>
        <w:pStyle w:val="Heading1"/>
        <w:spacing w:after="160" w:before="320"/>
      </w:pPr>
      <w:r>
        <w:rPr>
          <w:color w:val="1F3864"/>
        </w:rPr>
        <w:t xml:space="preserve">3. Redundancy Findings</w:t>
      </w:r>
    </w:p>
    <w:p>
      <w:pPr>
        <w:spacing w:after="160" w:line="276"/>
      </w:pPr>
      <w:r>
        <w:t xml:space="preserve">Two notable pairs emerged from the correlation screen:</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4560"/>
      </w:tblGrid>
      <w:tr>
        <w:tc>
          <w:tcPr>
            <w:tcW w:type="dxa" w:w="3600"/>
            <w:shd w:fill="1F3864" w:val="clear"/>
            <w:tcMar>
              <w:top w:type="dxa" w:w="80"/>
              <w:left w:type="dxa" w:w="100"/>
              <w:bottom w:type="dxa" w:w="80"/>
              <w:right w:type="dxa" w:w="100"/>
            </w:tcMar>
          </w:tcPr>
          <w:p>
            <w:pPr>
              <w:jc w:val="left"/>
            </w:pPr>
            <w:r>
              <w:rPr>
                <w:b/>
                <w:bCs/>
                <w:color w:val="FFFFFF"/>
              </w:rPr>
              <w:t xml:space="preserve">Pair</w:t>
            </w:r>
          </w:p>
        </w:tc>
        <w:tc>
          <w:tcPr>
            <w:tcW w:type="dxa" w:w="1700"/>
            <w:shd w:fill="1F3864" w:val="clear"/>
            <w:tcMar>
              <w:top w:type="dxa" w:w="80"/>
              <w:left w:type="dxa" w:w="100"/>
              <w:bottom w:type="dxa" w:w="80"/>
              <w:right w:type="dxa" w:w="100"/>
            </w:tcMar>
          </w:tcPr>
          <w:p>
            <w:pPr>
              <w:jc w:val="left"/>
            </w:pPr>
            <w:r>
              <w:rPr>
                <w:b/>
                <w:bCs/>
                <w:color w:val="FFFFFF"/>
              </w:rPr>
              <w:t xml:space="preserve">Correlation</w:t>
            </w:r>
          </w:p>
        </w:tc>
        <w:tc>
          <w:tcPr>
            <w:tcW w:type="dxa" w:w="4560"/>
            <w:shd w:fill="1F3864" w:val="clear"/>
            <w:tcMar>
              <w:top w:type="dxa" w:w="80"/>
              <w:left w:type="dxa" w:w="100"/>
              <w:bottom w:type="dxa" w:w="80"/>
              <w:right w:type="dxa" w:w="100"/>
            </w:tcMar>
          </w:tcPr>
          <w:p>
            <w:pPr>
              <w:jc w:val="left"/>
            </w:pPr>
            <w:r>
              <w:rPr>
                <w:b/>
                <w:bCs/>
                <w:color w:val="FFFFFF"/>
              </w:rPr>
              <w:t xml:space="preserve">Assessment</w:t>
            </w:r>
          </w:p>
        </w:tc>
      </w:tr>
      <w:tr>
        <w:tc>
          <w:tcPr>
            <w:tcW w:type="dxa" w:w="3600"/>
            <w:tcMar>
              <w:top w:type="dxa" w:w="80"/>
              <w:left w:type="dxa" w:w="100"/>
              <w:bottom w:type="dxa" w:w="80"/>
              <w:right w:type="dxa" w:w="100"/>
            </w:tcMar>
          </w:tcPr>
          <w:p>
            <w:pPr>
              <w:jc w:val="left"/>
            </w:pPr>
            <w:r>
              <w:rPr>
                <w:b w:val="false"/>
                <w:bCs w:val="false"/>
              </w:rPr>
              <w:t xml:space="preserve">HRReserveDeficit ↔ MaxHR</w:t>
            </w:r>
          </w:p>
        </w:tc>
        <w:tc>
          <w:tcPr>
            <w:tcW w:type="dxa" w:w="1700"/>
            <w:tcMar>
              <w:top w:type="dxa" w:w="80"/>
              <w:left w:type="dxa" w:w="100"/>
              <w:bottom w:type="dxa" w:w="80"/>
              <w:right w:type="dxa" w:w="100"/>
            </w:tcMar>
          </w:tcPr>
          <w:p>
            <w:pPr>
              <w:jc w:val="left"/>
            </w:pPr>
            <w:r>
              <w:rPr>
                <w:b w:val="false"/>
                <w:bCs w:val="false"/>
              </w:rPr>
              <w:t xml:space="preserve">r = −0.93</w:t>
            </w:r>
          </w:p>
        </w:tc>
        <w:tc>
          <w:tcPr>
            <w:tcW w:type="dxa" w:w="4560"/>
            <w:tcMar>
              <w:top w:type="dxa" w:w="80"/>
              <w:left w:type="dxa" w:w="100"/>
              <w:bottom w:type="dxa" w:w="80"/>
              <w:right w:type="dxa" w:w="100"/>
            </w:tcMar>
          </w:tcPr>
          <w:p>
            <w:pPr>
              <w:jc w:val="left"/>
            </w:pPr>
            <w:r>
              <w:rPr>
                <w:b w:val="false"/>
                <w:bCs w:val="false"/>
              </w:rPr>
              <w:t xml:space="preserve">Near-total redundancy. HRReserveDeficit's own "age adjustment" correlates just 0.01 with Age — the feature is effectively MaxHR restated.</w:t>
            </w:r>
          </w:p>
        </w:tc>
      </w:tr>
      <w:tr>
        <w:tc>
          <w:tcPr>
            <w:tcW w:type="dxa" w:w="3600"/>
            <w:shd w:fill="F2F2F2" w:val="clear"/>
            <w:tcMar>
              <w:top w:type="dxa" w:w="80"/>
              <w:left w:type="dxa" w:w="100"/>
              <w:bottom w:type="dxa" w:w="80"/>
              <w:right w:type="dxa" w:w="100"/>
            </w:tcMar>
          </w:tcPr>
          <w:p>
            <w:pPr>
              <w:jc w:val="left"/>
            </w:pPr>
            <w:r>
              <w:rPr>
                <w:b w:val="false"/>
                <w:bCs w:val="false"/>
              </w:rPr>
              <w:t xml:space="preserve">ExertionRiskFlag ↔ ExerciseAngina</w:t>
            </w:r>
          </w:p>
        </w:tc>
        <w:tc>
          <w:tcPr>
            <w:tcW w:type="dxa" w:w="1700"/>
            <w:shd w:fill="F2F2F2" w:val="clear"/>
            <w:tcMar>
              <w:top w:type="dxa" w:w="80"/>
              <w:left w:type="dxa" w:w="100"/>
              <w:bottom w:type="dxa" w:w="80"/>
              <w:right w:type="dxa" w:w="100"/>
            </w:tcMar>
          </w:tcPr>
          <w:p>
            <w:pPr>
              <w:jc w:val="left"/>
            </w:pPr>
            <w:r>
              <w:rPr>
                <w:b w:val="false"/>
                <w:bCs w:val="false"/>
              </w:rPr>
              <w:t xml:space="preserve">r = 0.81</w:t>
            </w:r>
          </w:p>
        </w:tc>
        <w:tc>
          <w:tcPr>
            <w:tcW w:type="dxa" w:w="4560"/>
            <w:shd w:fill="F2F2F2" w:val="clear"/>
            <w:tcMar>
              <w:top w:type="dxa" w:w="80"/>
              <w:left w:type="dxa" w:w="100"/>
              <w:bottom w:type="dxa" w:w="80"/>
              <w:right w:type="dxa" w:w="100"/>
            </w:tcMar>
          </w:tcPr>
          <w:p>
            <w:pPr>
              <w:jc w:val="left"/>
            </w:pPr>
            <w:r>
              <w:rPr>
                <w:b w:val="false"/>
                <w:bCs w:val="false"/>
              </w:rPr>
              <w:t xml:space="preserve">Expected — the flag is built directly from this column. Not treated as disqualifying on its own (see Section 4).</w:t>
            </w:r>
          </w:p>
        </w:tc>
      </w:tr>
      <w:tr>
        <w:tc>
          <w:tcPr>
            <w:tcW w:type="dxa" w:w="3600"/>
            <w:tcMar>
              <w:top w:type="dxa" w:w="80"/>
              <w:left w:type="dxa" w:w="100"/>
              <w:bottom w:type="dxa" w:w="80"/>
              <w:right w:type="dxa" w:w="100"/>
            </w:tcMar>
          </w:tcPr>
          <w:p>
            <w:pPr>
              <w:jc w:val="left"/>
            </w:pPr>
            <w:r>
              <w:rPr>
                <w:b w:val="false"/>
                <w:bCs w:val="false"/>
              </w:rPr>
              <w:t xml:space="preserve">ExertionRiskFlag ↔ Oldpeak</w:t>
            </w:r>
          </w:p>
        </w:tc>
        <w:tc>
          <w:tcPr>
            <w:tcW w:type="dxa" w:w="1700"/>
            <w:tcMar>
              <w:top w:type="dxa" w:w="80"/>
              <w:left w:type="dxa" w:w="100"/>
              <w:bottom w:type="dxa" w:w="80"/>
              <w:right w:type="dxa" w:w="100"/>
            </w:tcMar>
          </w:tcPr>
          <w:p>
            <w:pPr>
              <w:jc w:val="left"/>
            </w:pPr>
            <w:r>
              <w:rPr>
                <w:b w:val="false"/>
                <w:bCs w:val="false"/>
              </w:rPr>
              <w:t xml:space="preserve">r = 0.59</w:t>
            </w:r>
          </w:p>
        </w:tc>
        <w:tc>
          <w:tcPr>
            <w:tcW w:type="dxa" w:w="4560"/>
            <w:tcMar>
              <w:top w:type="dxa" w:w="80"/>
              <w:left w:type="dxa" w:w="100"/>
              <w:bottom w:type="dxa" w:w="80"/>
              <w:right w:type="dxa" w:w="100"/>
            </w:tcMar>
          </w:tcPr>
          <w:p>
            <w:pPr>
              <w:jc w:val="left"/>
            </w:pPr>
            <w:r>
              <w:rPr>
                <w:b w:val="false"/>
                <w:bCs w:val="false"/>
              </w:rPr>
              <w:t xml:space="preserve">Expected for the same reason as above; moderate, not extreme.</w:t>
            </w:r>
          </w:p>
        </w:tc>
      </w:tr>
    </w:tbl>
    <w:p>
      <w:pPr>
        <w:spacing w:after="120"/>
      </w:pPr>
    </w:p>
    <w:p>
      <w:pPr>
        <w:spacing w:after="160" w:line="276"/>
      </w:pPr>
      <w:r>
        <w:t xml:space="preserve">No pair among the original Week 2 numeric features exceeded 0.7 — consistent with, and not a reason to revisit, Week 2's own finding that none of the original columns needed to be dropped on redundancy grounds.</w:t>
      </w:r>
    </w:p>
    <w:p>
      <w:pPr>
        <w:pStyle w:val="Heading1"/>
        <w:spacing w:after="160" w:before="320"/>
      </w:pPr>
      <w:r>
        <w:rPr>
          <w:color w:val="1F3864"/>
        </w:rPr>
        <w:t xml:space="preserve">4. Random Forest Feature Importance</w:t>
      </w:r>
    </w:p>
    <w:p>
      <w:pPr>
        <w:spacing w:after="160" w:line="276"/>
      </w:pPr>
      <w:r>
        <w:t xml:space="preserve">Fitted on a working frame combining the retained original features with the engineered candidates (excluding the two already-dropped features and BPCategory, which is a reporting-only feature). Top results, in order:</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260"/>
      </w:tblGrid>
      <w:tr>
        <w:tc>
          <w:tcPr>
            <w:tcW w:type="dxa" w:w="1200"/>
            <w:shd w:fill="1F3864" w:val="clear"/>
            <w:tcMar>
              <w:top w:type="dxa" w:w="80"/>
              <w:left w:type="dxa" w:w="100"/>
              <w:bottom w:type="dxa" w:w="80"/>
              <w:right w:type="dxa" w:w="100"/>
            </w:tcMar>
          </w:tcPr>
          <w:p>
            <w:pPr>
              <w:jc w:val="left"/>
            </w:pPr>
            <w:r>
              <w:rPr>
                <w:b/>
                <w:bCs/>
                <w:color w:val="FFFFFF"/>
              </w:rPr>
              <w:t xml:space="preserve">Rank</w:t>
            </w:r>
          </w:p>
        </w:tc>
        <w:tc>
          <w:tcPr>
            <w:tcW w:type="dxa" w:w="3400"/>
            <w:shd w:fill="1F3864" w:val="clear"/>
            <w:tcMar>
              <w:top w:type="dxa" w:w="80"/>
              <w:left w:type="dxa" w:w="100"/>
              <w:bottom w:type="dxa" w:w="80"/>
              <w:right w:type="dxa" w:w="100"/>
            </w:tcMar>
          </w:tcPr>
          <w:p>
            <w:pPr>
              <w:jc w:val="left"/>
            </w:pPr>
            <w:r>
              <w:rPr>
                <w:b/>
                <w:bCs/>
                <w:color w:val="FFFFFF"/>
              </w:rPr>
              <w:t xml:space="preserve">Feature</w:t>
            </w:r>
          </w:p>
        </w:tc>
        <w:tc>
          <w:tcPr>
            <w:tcW w:type="dxa" w:w="4260"/>
            <w:shd w:fill="1F3864" w:val="clear"/>
            <w:tcMar>
              <w:top w:type="dxa" w:w="80"/>
              <w:left w:type="dxa" w:w="100"/>
              <w:bottom w:type="dxa" w:w="80"/>
              <w:right w:type="dxa" w:w="100"/>
            </w:tcMar>
          </w:tcPr>
          <w:p>
            <w:pPr>
              <w:jc w:val="left"/>
            </w:pPr>
            <w:r>
              <w:rPr>
                <w:b/>
                <w:bCs/>
                <w:color w:val="FFFFFF"/>
              </w:rPr>
              <w:t xml:space="preserve">Importance</w:t>
            </w:r>
          </w:p>
        </w:tc>
      </w:tr>
      <w:tr>
        <w:tc>
          <w:tcPr>
            <w:tcW w:type="dxa" w:w="1200"/>
            <w:tcMar>
              <w:top w:type="dxa" w:w="80"/>
              <w:left w:type="dxa" w:w="100"/>
              <w:bottom w:type="dxa" w:w="80"/>
              <w:right w:type="dxa" w:w="100"/>
            </w:tcMar>
          </w:tcPr>
          <w:p>
            <w:pPr>
              <w:jc w:val="left"/>
            </w:pPr>
            <w:r>
              <w:rPr>
                <w:b w:val="false"/>
                <w:bCs w:val="false"/>
              </w:rPr>
              <w:t xml:space="preserve">1</w:t>
            </w:r>
          </w:p>
        </w:tc>
        <w:tc>
          <w:tcPr>
            <w:tcW w:type="dxa" w:w="3400"/>
            <w:tcMar>
              <w:top w:type="dxa" w:w="80"/>
              <w:left w:type="dxa" w:w="100"/>
              <w:bottom w:type="dxa" w:w="80"/>
              <w:right w:type="dxa" w:w="100"/>
            </w:tcMar>
          </w:tcPr>
          <w:p>
            <w:pPr>
              <w:jc w:val="left"/>
            </w:pPr>
            <w:r>
              <w:rPr>
                <w:b w:val="false"/>
                <w:bCs w:val="false"/>
              </w:rPr>
              <w:t xml:space="preserve">ST_Slope_Up</w:t>
            </w:r>
          </w:p>
        </w:tc>
        <w:tc>
          <w:tcPr>
            <w:tcW w:type="dxa" w:w="4260"/>
            <w:tcMar>
              <w:top w:type="dxa" w:w="80"/>
              <w:left w:type="dxa" w:w="100"/>
              <w:bottom w:type="dxa" w:w="80"/>
              <w:right w:type="dxa" w:w="100"/>
            </w:tcMar>
          </w:tcPr>
          <w:p>
            <w:pPr>
              <w:jc w:val="left"/>
            </w:pPr>
            <w:r>
              <w:rPr>
                <w:b w:val="false"/>
                <w:bCs w:val="false"/>
              </w:rPr>
              <w:t xml:space="preserve">0.148</w:t>
            </w:r>
          </w:p>
        </w:tc>
      </w:tr>
      <w:tr>
        <w:tc>
          <w:tcPr>
            <w:tcW w:type="dxa" w:w="1200"/>
            <w:shd w:fill="F2F2F2" w:val="clear"/>
            <w:tcMar>
              <w:top w:type="dxa" w:w="80"/>
              <w:left w:type="dxa" w:w="100"/>
              <w:bottom w:type="dxa" w:w="80"/>
              <w:right w:type="dxa" w:w="100"/>
            </w:tcMar>
          </w:tcPr>
          <w:p>
            <w:pPr>
              <w:jc w:val="left"/>
            </w:pPr>
            <w:r>
              <w:rPr>
                <w:b w:val="false"/>
                <w:bCs w:val="false"/>
              </w:rPr>
              <w:t xml:space="preserve">2</w:t>
            </w:r>
          </w:p>
        </w:tc>
        <w:tc>
          <w:tcPr>
            <w:tcW w:type="dxa" w:w="3400"/>
            <w:shd w:fill="F2F2F2" w:val="clear"/>
            <w:tcMar>
              <w:top w:type="dxa" w:w="80"/>
              <w:left w:type="dxa" w:w="100"/>
              <w:bottom w:type="dxa" w:w="80"/>
              <w:right w:type="dxa" w:w="100"/>
            </w:tcMar>
          </w:tcPr>
          <w:p>
            <w:pPr>
              <w:jc w:val="left"/>
            </w:pPr>
            <w:r>
              <w:rPr>
                <w:b w:val="false"/>
                <w:bCs w:val="false"/>
              </w:rPr>
              <w:t xml:space="preserve">ST_Slope_Flat</w:t>
            </w:r>
          </w:p>
        </w:tc>
        <w:tc>
          <w:tcPr>
            <w:tcW w:type="dxa" w:w="4260"/>
            <w:shd w:fill="F2F2F2" w:val="clear"/>
            <w:tcMar>
              <w:top w:type="dxa" w:w="80"/>
              <w:left w:type="dxa" w:w="100"/>
              <w:bottom w:type="dxa" w:w="80"/>
              <w:right w:type="dxa" w:w="100"/>
            </w:tcMar>
          </w:tcPr>
          <w:p>
            <w:pPr>
              <w:jc w:val="left"/>
            </w:pPr>
            <w:r>
              <w:rPr>
                <w:b w:val="false"/>
                <w:bCs w:val="false"/>
              </w:rPr>
              <w:t xml:space="preserve">0.105</w:t>
            </w:r>
          </w:p>
        </w:tc>
      </w:tr>
      <w:tr>
        <w:tc>
          <w:tcPr>
            <w:tcW w:type="dxa" w:w="1200"/>
            <w:tcMar>
              <w:top w:type="dxa" w:w="80"/>
              <w:left w:type="dxa" w:w="100"/>
              <w:bottom w:type="dxa" w:w="80"/>
              <w:right w:type="dxa" w:w="100"/>
            </w:tcMar>
          </w:tcPr>
          <w:p>
            <w:pPr>
              <w:jc w:val="left"/>
            </w:pPr>
            <w:r>
              <w:rPr>
                <w:b w:val="false"/>
                <w:bCs w:val="false"/>
              </w:rPr>
              <w:t xml:space="preserve">3</w:t>
            </w:r>
          </w:p>
        </w:tc>
        <w:tc>
          <w:tcPr>
            <w:tcW w:type="dxa" w:w="3400"/>
            <w:tcMar>
              <w:top w:type="dxa" w:w="80"/>
              <w:left w:type="dxa" w:w="100"/>
              <w:bottom w:type="dxa" w:w="80"/>
              <w:right w:type="dxa" w:w="100"/>
            </w:tcMar>
          </w:tcPr>
          <w:p>
            <w:pPr>
              <w:jc w:val="left"/>
            </w:pPr>
            <w:r>
              <w:rPr>
                <w:b w:val="false"/>
                <w:bCs w:val="false"/>
              </w:rPr>
              <w:t xml:space="preserve">ChestPainRiskRank</w:t>
            </w:r>
          </w:p>
        </w:tc>
        <w:tc>
          <w:tcPr>
            <w:tcW w:type="dxa" w:w="4260"/>
            <w:tcMar>
              <w:top w:type="dxa" w:w="80"/>
              <w:left w:type="dxa" w:w="100"/>
              <w:bottom w:type="dxa" w:w="80"/>
              <w:right w:type="dxa" w:w="100"/>
            </w:tcMar>
          </w:tcPr>
          <w:p>
            <w:pPr>
              <w:jc w:val="left"/>
            </w:pPr>
            <w:r>
              <w:rPr>
                <w:b w:val="false"/>
                <w:bCs w:val="false"/>
              </w:rPr>
              <w:t xml:space="preserve">0.104</w:t>
            </w:r>
          </w:p>
        </w:tc>
      </w:tr>
      <w:tr>
        <w:tc>
          <w:tcPr>
            <w:tcW w:type="dxa" w:w="1200"/>
            <w:shd w:fill="F2F2F2" w:val="clear"/>
            <w:tcMar>
              <w:top w:type="dxa" w:w="80"/>
              <w:left w:type="dxa" w:w="100"/>
              <w:bottom w:type="dxa" w:w="80"/>
              <w:right w:type="dxa" w:w="100"/>
            </w:tcMar>
          </w:tcPr>
          <w:p>
            <w:pPr>
              <w:jc w:val="left"/>
            </w:pPr>
            <w:r>
              <w:rPr>
                <w:b w:val="false"/>
                <w:bCs w:val="false"/>
              </w:rPr>
              <w:t xml:space="preserve">4</w:t>
            </w:r>
          </w:p>
        </w:tc>
        <w:tc>
          <w:tcPr>
            <w:tcW w:type="dxa" w:w="3400"/>
            <w:shd w:fill="F2F2F2" w:val="clear"/>
            <w:tcMar>
              <w:top w:type="dxa" w:w="80"/>
              <w:left w:type="dxa" w:w="100"/>
              <w:bottom w:type="dxa" w:w="80"/>
              <w:right w:type="dxa" w:w="100"/>
            </w:tcMar>
          </w:tcPr>
          <w:p>
            <w:pPr>
              <w:jc w:val="left"/>
            </w:pPr>
            <w:r>
              <w:rPr>
                <w:b w:val="false"/>
                <w:bCs w:val="false"/>
              </w:rPr>
              <w:t xml:space="preserve">Oldpeak</w:t>
            </w:r>
          </w:p>
        </w:tc>
        <w:tc>
          <w:tcPr>
            <w:tcW w:type="dxa" w:w="4260"/>
            <w:shd w:fill="F2F2F2" w:val="clear"/>
            <w:tcMar>
              <w:top w:type="dxa" w:w="80"/>
              <w:left w:type="dxa" w:w="100"/>
              <w:bottom w:type="dxa" w:w="80"/>
              <w:right w:type="dxa" w:w="100"/>
            </w:tcMar>
          </w:tcPr>
          <w:p>
            <w:pPr>
              <w:jc w:val="left"/>
            </w:pPr>
            <w:r>
              <w:rPr>
                <w:b w:val="false"/>
                <w:bCs w:val="false"/>
              </w:rPr>
              <w:t xml:space="preserve">0.099</w:t>
            </w:r>
          </w:p>
        </w:tc>
      </w:tr>
      <w:tr>
        <w:tc>
          <w:tcPr>
            <w:tcW w:type="dxa" w:w="1200"/>
            <w:tcMar>
              <w:top w:type="dxa" w:w="80"/>
              <w:left w:type="dxa" w:w="100"/>
              <w:bottom w:type="dxa" w:w="80"/>
              <w:right w:type="dxa" w:w="100"/>
            </w:tcMar>
          </w:tcPr>
          <w:p>
            <w:pPr>
              <w:jc w:val="left"/>
            </w:pPr>
            <w:r>
              <w:rPr>
                <w:b w:val="false"/>
                <w:bCs w:val="false"/>
              </w:rPr>
              <w:t xml:space="preserve">5</w:t>
            </w:r>
          </w:p>
        </w:tc>
        <w:tc>
          <w:tcPr>
            <w:tcW w:type="dxa" w:w="3400"/>
            <w:tcMar>
              <w:top w:type="dxa" w:w="80"/>
              <w:left w:type="dxa" w:w="100"/>
              <w:bottom w:type="dxa" w:w="80"/>
              <w:right w:type="dxa" w:w="100"/>
            </w:tcMar>
          </w:tcPr>
          <w:p>
            <w:pPr>
              <w:jc w:val="left"/>
            </w:pPr>
            <w:r>
              <w:rPr>
                <w:b w:val="false"/>
                <w:bCs w:val="false"/>
              </w:rPr>
              <w:t xml:space="preserve">MaxHR</w:t>
            </w:r>
          </w:p>
        </w:tc>
        <w:tc>
          <w:tcPr>
            <w:tcW w:type="dxa" w:w="4260"/>
            <w:tcMar>
              <w:top w:type="dxa" w:w="80"/>
              <w:left w:type="dxa" w:w="100"/>
              <w:bottom w:type="dxa" w:w="80"/>
              <w:right w:type="dxa" w:w="100"/>
            </w:tcMar>
          </w:tcPr>
          <w:p>
            <w:pPr>
              <w:jc w:val="left"/>
            </w:pPr>
            <w:r>
              <w:rPr>
                <w:b w:val="false"/>
                <w:bCs w:val="false"/>
              </w:rPr>
              <w:t xml:space="preserve">0.096</w:t>
            </w:r>
          </w:p>
        </w:tc>
      </w:tr>
      <w:tr>
        <w:tc>
          <w:tcPr>
            <w:tcW w:type="dxa" w:w="1200"/>
            <w:shd w:fill="F2F2F2" w:val="clear"/>
            <w:tcMar>
              <w:top w:type="dxa" w:w="80"/>
              <w:left w:type="dxa" w:w="100"/>
              <w:bottom w:type="dxa" w:w="80"/>
              <w:right w:type="dxa" w:w="100"/>
            </w:tcMar>
          </w:tcPr>
          <w:p>
            <w:pPr>
              <w:jc w:val="left"/>
            </w:pPr>
            <w:r>
              <w:rPr>
                <w:b w:val="false"/>
                <w:bCs w:val="false"/>
              </w:rPr>
              <w:t xml:space="preserve">6</w:t>
            </w:r>
          </w:p>
        </w:tc>
        <w:tc>
          <w:tcPr>
            <w:tcW w:type="dxa" w:w="3400"/>
            <w:shd w:fill="F2F2F2" w:val="clear"/>
            <w:tcMar>
              <w:top w:type="dxa" w:w="80"/>
              <w:left w:type="dxa" w:w="100"/>
              <w:bottom w:type="dxa" w:w="80"/>
              <w:right w:type="dxa" w:w="100"/>
            </w:tcMar>
          </w:tcPr>
          <w:p>
            <w:pPr>
              <w:jc w:val="left"/>
            </w:pPr>
            <w:r>
              <w:rPr>
                <w:b w:val="false"/>
                <w:bCs w:val="false"/>
              </w:rPr>
              <w:t xml:space="preserve">Cholesterol</w:t>
            </w:r>
          </w:p>
        </w:tc>
        <w:tc>
          <w:tcPr>
            <w:tcW w:type="dxa" w:w="4260"/>
            <w:shd w:fill="F2F2F2" w:val="clear"/>
            <w:tcMar>
              <w:top w:type="dxa" w:w="80"/>
              <w:left w:type="dxa" w:w="100"/>
              <w:bottom w:type="dxa" w:w="80"/>
              <w:right w:type="dxa" w:w="100"/>
            </w:tcMar>
          </w:tcPr>
          <w:p>
            <w:pPr>
              <w:jc w:val="left"/>
            </w:pPr>
            <w:r>
              <w:rPr>
                <w:b w:val="false"/>
                <w:bCs w:val="false"/>
              </w:rPr>
              <w:t xml:space="preserve">0.079</w:t>
            </w:r>
          </w:p>
        </w:tc>
      </w:tr>
      <w:tr>
        <w:tc>
          <w:tcPr>
            <w:tcW w:type="dxa" w:w="1200"/>
            <w:tcMar>
              <w:top w:type="dxa" w:w="80"/>
              <w:left w:type="dxa" w:w="100"/>
              <w:bottom w:type="dxa" w:w="80"/>
              <w:right w:type="dxa" w:w="100"/>
            </w:tcMar>
          </w:tcPr>
          <w:p>
            <w:pPr>
              <w:jc w:val="left"/>
            </w:pPr>
            <w:r>
              <w:rPr>
                <w:b w:val="false"/>
                <w:bCs w:val="false"/>
              </w:rPr>
              <w:t xml:space="preserve">7</w:t>
            </w:r>
          </w:p>
        </w:tc>
        <w:tc>
          <w:tcPr>
            <w:tcW w:type="dxa" w:w="3400"/>
            <w:tcMar>
              <w:top w:type="dxa" w:w="80"/>
              <w:left w:type="dxa" w:w="100"/>
              <w:bottom w:type="dxa" w:w="80"/>
              <w:right w:type="dxa" w:w="100"/>
            </w:tcMar>
          </w:tcPr>
          <w:p>
            <w:pPr>
              <w:jc w:val="left"/>
            </w:pPr>
            <w:r>
              <w:rPr>
                <w:b w:val="false"/>
                <w:bCs w:val="false"/>
              </w:rPr>
              <w:t xml:space="preserve">Age</w:t>
            </w:r>
          </w:p>
        </w:tc>
        <w:tc>
          <w:tcPr>
            <w:tcW w:type="dxa" w:w="4260"/>
            <w:tcMar>
              <w:top w:type="dxa" w:w="80"/>
              <w:left w:type="dxa" w:w="100"/>
              <w:bottom w:type="dxa" w:w="80"/>
              <w:right w:type="dxa" w:w="100"/>
            </w:tcMar>
          </w:tcPr>
          <w:p>
            <w:pPr>
              <w:jc w:val="left"/>
            </w:pPr>
            <w:r>
              <w:rPr>
                <w:b w:val="false"/>
                <w:bCs w:val="false"/>
              </w:rPr>
              <w:t xml:space="preserve">0.079</w:t>
            </w:r>
          </w:p>
        </w:tc>
      </w:tr>
      <w:tr>
        <w:tc>
          <w:tcPr>
            <w:tcW w:type="dxa" w:w="1200"/>
            <w:shd w:fill="F2F2F2" w:val="clear"/>
            <w:tcMar>
              <w:top w:type="dxa" w:w="80"/>
              <w:left w:type="dxa" w:w="100"/>
              <w:bottom w:type="dxa" w:w="80"/>
              <w:right w:type="dxa" w:w="100"/>
            </w:tcMar>
          </w:tcPr>
          <w:p>
            <w:pPr>
              <w:jc w:val="left"/>
            </w:pPr>
            <w:r>
              <w:rPr>
                <w:b w:val="false"/>
                <w:bCs w:val="false"/>
              </w:rPr>
              <w:t xml:space="preserve">8</w:t>
            </w:r>
          </w:p>
        </w:tc>
        <w:tc>
          <w:tcPr>
            <w:tcW w:type="dxa" w:w="3400"/>
            <w:shd w:fill="F2F2F2" w:val="clear"/>
            <w:tcMar>
              <w:top w:type="dxa" w:w="80"/>
              <w:left w:type="dxa" w:w="100"/>
              <w:bottom w:type="dxa" w:w="80"/>
              <w:right w:type="dxa" w:w="100"/>
            </w:tcMar>
          </w:tcPr>
          <w:p>
            <w:pPr>
              <w:jc w:val="left"/>
            </w:pPr>
            <w:r>
              <w:rPr>
                <w:b w:val="false"/>
                <w:bCs w:val="false"/>
              </w:rPr>
              <w:t xml:space="preserve">RestingBP</w:t>
            </w:r>
          </w:p>
        </w:tc>
        <w:tc>
          <w:tcPr>
            <w:tcW w:type="dxa" w:w="4260"/>
            <w:shd w:fill="F2F2F2" w:val="clear"/>
            <w:tcMar>
              <w:top w:type="dxa" w:w="80"/>
              <w:left w:type="dxa" w:w="100"/>
              <w:bottom w:type="dxa" w:w="80"/>
              <w:right w:type="dxa" w:w="100"/>
            </w:tcMar>
          </w:tcPr>
          <w:p>
            <w:pPr>
              <w:jc w:val="left"/>
            </w:pPr>
            <w:r>
              <w:rPr>
                <w:b w:val="false"/>
                <w:bCs w:val="false"/>
              </w:rPr>
              <w:t xml:space="preserve">0.075</w:t>
            </w:r>
          </w:p>
        </w:tc>
      </w:tr>
      <w:tr>
        <w:tc>
          <w:tcPr>
            <w:tcW w:type="dxa" w:w="1200"/>
            <w:tcMar>
              <w:top w:type="dxa" w:w="80"/>
              <w:left w:type="dxa" w:w="100"/>
              <w:bottom w:type="dxa" w:w="80"/>
              <w:right w:type="dxa" w:w="100"/>
            </w:tcMar>
          </w:tcPr>
          <w:p>
            <w:pPr>
              <w:jc w:val="left"/>
            </w:pPr>
            <w:r>
              <w:rPr>
                <w:b w:val="false"/>
                <w:bCs w:val="false"/>
              </w:rPr>
              <w:t xml:space="preserve">9</w:t>
            </w:r>
          </w:p>
        </w:tc>
        <w:tc>
          <w:tcPr>
            <w:tcW w:type="dxa" w:w="3400"/>
            <w:tcMar>
              <w:top w:type="dxa" w:w="80"/>
              <w:left w:type="dxa" w:w="100"/>
              <w:bottom w:type="dxa" w:w="80"/>
              <w:right w:type="dxa" w:w="100"/>
            </w:tcMar>
          </w:tcPr>
          <w:p>
            <w:pPr>
              <w:jc w:val="left"/>
            </w:pPr>
            <w:r>
              <w:rPr>
                <w:b w:val="false"/>
                <w:bCs w:val="false"/>
              </w:rPr>
              <w:t xml:space="preserve">ExerciseAngina</w:t>
            </w:r>
          </w:p>
        </w:tc>
        <w:tc>
          <w:tcPr>
            <w:tcW w:type="dxa" w:w="4260"/>
            <w:tcMar>
              <w:top w:type="dxa" w:w="80"/>
              <w:left w:type="dxa" w:w="100"/>
              <w:bottom w:type="dxa" w:w="80"/>
              <w:right w:type="dxa" w:w="100"/>
            </w:tcMar>
          </w:tcPr>
          <w:p>
            <w:pPr>
              <w:jc w:val="left"/>
            </w:pPr>
            <w:r>
              <w:rPr>
                <w:b w:val="false"/>
                <w:bCs w:val="false"/>
              </w:rPr>
              <w:t xml:space="preserve">0.065</w:t>
            </w:r>
          </w:p>
        </w:tc>
      </w:tr>
      <w:tr>
        <w:tc>
          <w:tcPr>
            <w:tcW w:type="dxa" w:w="1200"/>
            <w:shd w:fill="F2F2F2" w:val="clear"/>
            <w:tcMar>
              <w:top w:type="dxa" w:w="80"/>
              <w:left w:type="dxa" w:w="100"/>
              <w:bottom w:type="dxa" w:w="80"/>
              <w:right w:type="dxa" w:w="100"/>
            </w:tcMar>
          </w:tcPr>
          <w:p>
            <w:pPr>
              <w:jc w:val="left"/>
            </w:pPr>
            <w:r>
              <w:rPr>
                <w:b w:val="false"/>
                <w:bCs w:val="false"/>
              </w:rPr>
              <w:t xml:space="preserve">10</w:t>
            </w:r>
          </w:p>
        </w:tc>
        <w:tc>
          <w:tcPr>
            <w:tcW w:type="dxa" w:w="3400"/>
            <w:shd w:fill="F2F2F2" w:val="clear"/>
            <w:tcMar>
              <w:top w:type="dxa" w:w="80"/>
              <w:left w:type="dxa" w:w="100"/>
              <w:bottom w:type="dxa" w:w="80"/>
              <w:right w:type="dxa" w:w="100"/>
            </w:tcMar>
          </w:tcPr>
          <w:p>
            <w:pPr>
              <w:jc w:val="left"/>
            </w:pPr>
            <w:r>
              <w:rPr>
                <w:b w:val="false"/>
                <w:bCs w:val="false"/>
              </w:rPr>
              <w:t xml:space="preserve">ExertionRiskFlag</w:t>
            </w:r>
          </w:p>
        </w:tc>
        <w:tc>
          <w:tcPr>
            <w:tcW w:type="dxa" w:w="4260"/>
            <w:shd w:fill="F2F2F2" w:val="clear"/>
            <w:tcMar>
              <w:top w:type="dxa" w:w="80"/>
              <w:left w:type="dxa" w:w="100"/>
              <w:bottom w:type="dxa" w:w="80"/>
              <w:right w:type="dxa" w:w="100"/>
            </w:tcMar>
          </w:tcPr>
          <w:p>
            <w:pPr>
              <w:jc w:val="left"/>
            </w:pPr>
            <w:r>
              <w:rPr>
                <w:b w:val="false"/>
                <w:bCs w:val="false"/>
              </w:rPr>
              <w:t xml:space="preserve">0.043</w:t>
            </w:r>
          </w:p>
        </w:tc>
      </w:tr>
    </w:tbl>
    <w:p>
      <w:pPr>
        <w:spacing w:after="120"/>
      </w:pPr>
    </w:p>
    <w:p>
      <w:pPr>
        <w:spacing w:after="160" w:line="276"/>
      </w:pPr>
      <w:r>
        <w:t xml:space="preserve">ChestPainRiskRank lands 3rd of 14 candidate features — independent confirmation, beyond the correlation figure reported in the Feature Engineering Documentation, that re-encoding chest pain type as an ordinal risk score concentrated rather than diluted its signal. ExertionRiskFlag scores lower but still clears a meaningful, non-zero importance, supporting its retention despite the correlation with its parent columns noted in Section 3.</w:t>
      </w:r>
    </w:p>
    <w:p>
      <w:pPr>
        <w:pStyle w:val="Heading1"/>
        <w:spacing w:after="160" w:before="320"/>
      </w:pPr>
      <w:r>
        <w:rPr>
          <w:color w:val="1F3864"/>
        </w:rPr>
        <w:t xml:space="preserve">5. Data Leakage Check</w:t>
      </w:r>
    </w:p>
    <w:p>
      <w:pPr>
        <w:spacing w:after="160" w:line="276"/>
      </w:pPr>
      <w:r>
        <w:t xml:space="preserve">All engineered features were built exclusively from pre-existing columns already present in the Week 2 cleaned dataset (Age, MaxHR, RestingBP, Cholesterol, ExerciseAngina, Oldpeak, ChestPainType). None reference the target variable, HeartDisease, in their construction, and none rely on information that would not realistically be available at the point a wellness screening decision is made — chest pain presentation, exercise test results and resting blood pressure are all collected during, not after, a standard screening visit. No leakage risk was identified.</w:t>
      </w:r>
    </w:p>
    <w:p>
      <w:pPr>
        <w:pStyle w:val="Heading1"/>
        <w:spacing w:after="160" w:before="320"/>
      </w:pPr>
      <w:r>
        <w:rPr>
          <w:color w:val="1F3864"/>
        </w:rPr>
        <w:t xml:space="preserve">6. Feature-by-Feature Decisions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100"/>
        <w:gridCol w:w="2500"/>
      </w:tblGrid>
      <w:tr>
        <w:tc>
          <w:tcPr>
            <w:tcW w:type="dxa" w:w="2400"/>
            <w:shd w:fill="1F3864" w:val="clear"/>
            <w:tcMar>
              <w:top w:type="dxa" w:w="80"/>
              <w:left w:type="dxa" w:w="100"/>
              <w:bottom w:type="dxa" w:w="80"/>
              <w:right w:type="dxa" w:w="100"/>
            </w:tcMar>
          </w:tcPr>
          <w:p>
            <w:pPr>
              <w:jc w:val="left"/>
            </w:pPr>
            <w:r>
              <w:rPr>
                <w:b/>
                <w:bCs/>
                <w:color w:val="FFFFFF"/>
              </w:rPr>
              <w:t xml:space="preserve">Feature</w:t>
            </w:r>
          </w:p>
        </w:tc>
        <w:tc>
          <w:tcPr>
            <w:tcW w:type="dxa" w:w="2600"/>
            <w:shd w:fill="1F3864" w:val="clear"/>
            <w:tcMar>
              <w:top w:type="dxa" w:w="80"/>
              <w:left w:type="dxa" w:w="100"/>
              <w:bottom w:type="dxa" w:w="80"/>
              <w:right w:type="dxa" w:w="100"/>
            </w:tcMar>
          </w:tcPr>
          <w:p>
            <w:pPr>
              <w:jc w:val="left"/>
            </w:pPr>
            <w:r>
              <w:rPr>
                <w:b/>
                <w:bCs/>
                <w:color w:val="FFFFFF"/>
              </w:rPr>
              <w:t xml:space="preserve">Evidence</w:t>
            </w:r>
          </w:p>
        </w:tc>
        <w:tc>
          <w:tcPr>
            <w:tcW w:type="dxa" w:w="2100"/>
            <w:shd w:fill="1F3864" w:val="clear"/>
            <w:tcMar>
              <w:top w:type="dxa" w:w="80"/>
              <w:left w:type="dxa" w:w="100"/>
              <w:bottom w:type="dxa" w:w="80"/>
              <w:right w:type="dxa" w:w="100"/>
            </w:tcMar>
          </w:tcPr>
          <w:p>
            <w:pPr>
              <w:jc w:val="left"/>
            </w:pPr>
            <w:r>
              <w:rPr>
                <w:b/>
                <w:bCs/>
                <w:color w:val="FFFFFF"/>
              </w:rPr>
              <w:t xml:space="preserve">Decision</w:t>
            </w:r>
          </w:p>
        </w:tc>
        <w:tc>
          <w:tcPr>
            <w:tcW w:type="dxa" w:w="2500"/>
            <w:shd w:fill="1F3864" w:val="clear"/>
            <w:tcMar>
              <w:top w:type="dxa" w:w="80"/>
              <w:left w:type="dxa" w:w="100"/>
              <w:bottom w:type="dxa" w:w="80"/>
              <w:right w:type="dxa" w:w="100"/>
            </w:tcMar>
          </w:tcPr>
          <w:p>
            <w:pPr>
              <w:jc w:val="left"/>
            </w:pPr>
            <w:r>
              <w:rPr>
                <w:b/>
                <w:bCs/>
                <w:color w:val="FFFFFF"/>
              </w:rPr>
              <w:t xml:space="preserve">Reasoning</w:t>
            </w:r>
          </w:p>
        </w:tc>
      </w:tr>
      <w:tr>
        <w:tc>
          <w:tcPr>
            <w:tcW w:type="dxa" w:w="2400"/>
            <w:tcMar>
              <w:top w:type="dxa" w:w="80"/>
              <w:left w:type="dxa" w:w="100"/>
              <w:bottom w:type="dxa" w:w="80"/>
              <w:right w:type="dxa" w:w="100"/>
            </w:tcMar>
          </w:tcPr>
          <w:p>
            <w:pPr>
              <w:jc w:val="left"/>
            </w:pPr>
            <w:r>
              <w:rPr>
                <w:b w:val="false"/>
                <w:bCs w:val="false"/>
              </w:rPr>
              <w:t xml:space="preserve">MaxHR</w:t>
            </w:r>
          </w:p>
        </w:tc>
        <w:tc>
          <w:tcPr>
            <w:tcW w:type="dxa" w:w="2600"/>
            <w:tcMar>
              <w:top w:type="dxa" w:w="80"/>
              <w:left w:type="dxa" w:w="100"/>
              <w:bottom w:type="dxa" w:w="80"/>
              <w:right w:type="dxa" w:w="100"/>
            </w:tcMar>
          </w:tcPr>
          <w:p>
            <w:pPr>
              <w:jc w:val="left"/>
            </w:pPr>
            <w:r>
              <w:rPr>
                <w:b w:val="false"/>
                <w:bCs w:val="false"/>
              </w:rPr>
              <w:t xml:space="preserve">Test 1 (p≈1.5×10⁻³⁴); r=−0.93 vs HRReserveDeficit</w:t>
            </w:r>
          </w:p>
        </w:tc>
        <w:tc>
          <w:tcPr>
            <w:tcW w:type="dxa" w:w="2100"/>
            <w:tcMar>
              <w:top w:type="dxa" w:w="80"/>
              <w:left w:type="dxa" w:w="100"/>
              <w:bottom w:type="dxa" w:w="80"/>
              <w:right w:type="dxa" w:w="100"/>
            </w:tcMar>
          </w:tcPr>
          <w:p>
            <w:pPr>
              <w:jc w:val="left"/>
            </w:pPr>
            <w:r>
              <w:rPr>
                <w:b w:val="false"/>
                <w:bCs w:val="false"/>
              </w:rPr>
              <w:t xml:space="preserve">Retain</w:t>
            </w:r>
          </w:p>
        </w:tc>
        <w:tc>
          <w:tcPr>
            <w:tcW w:type="dxa" w:w="2500"/>
            <w:tcMar>
              <w:top w:type="dxa" w:w="80"/>
              <w:left w:type="dxa" w:w="100"/>
              <w:bottom w:type="dxa" w:w="80"/>
              <w:right w:type="dxa" w:w="100"/>
            </w:tcMar>
          </w:tcPr>
          <w:p>
            <w:pPr>
              <w:jc w:val="left"/>
            </w:pPr>
            <w:r>
              <w:rPr>
                <w:b w:val="false"/>
                <w:bCs w:val="false"/>
              </w:rPr>
              <w:t xml:space="preserve">Strong, direct, cheaply-collected signal; kept over its derived deficit version</w:t>
            </w:r>
          </w:p>
        </w:tc>
      </w:tr>
      <w:tr>
        <w:tc>
          <w:tcPr>
            <w:tcW w:type="dxa" w:w="2400"/>
            <w:shd w:fill="F2F2F2" w:val="clear"/>
            <w:tcMar>
              <w:top w:type="dxa" w:w="80"/>
              <w:left w:type="dxa" w:w="100"/>
              <w:bottom w:type="dxa" w:w="80"/>
              <w:right w:type="dxa" w:w="100"/>
            </w:tcMar>
          </w:tcPr>
          <w:p>
            <w:pPr>
              <w:jc w:val="left"/>
            </w:pPr>
            <w:r>
              <w:rPr>
                <w:b w:val="false"/>
                <w:bCs w:val="false"/>
              </w:rPr>
              <w:t xml:space="preserve">Oldpeak</w:t>
            </w:r>
          </w:p>
        </w:tc>
        <w:tc>
          <w:tcPr>
            <w:tcW w:type="dxa" w:w="2600"/>
            <w:shd w:fill="F2F2F2" w:val="clear"/>
            <w:tcMar>
              <w:top w:type="dxa" w:w="80"/>
              <w:left w:type="dxa" w:w="100"/>
              <w:bottom w:type="dxa" w:w="80"/>
              <w:right w:type="dxa" w:w="100"/>
            </w:tcMar>
          </w:tcPr>
          <w:p>
            <w:pPr>
              <w:jc w:val="left"/>
            </w:pPr>
            <w:r>
              <w:rPr>
                <w:b w:val="false"/>
                <w:bCs w:val="false"/>
              </w:rPr>
              <w:t xml:space="preserve">Test 2 (p≈6.8×10⁻³⁷); top-5 RF importance</w:t>
            </w:r>
          </w:p>
        </w:tc>
        <w:tc>
          <w:tcPr>
            <w:tcW w:type="dxa" w:w="2100"/>
            <w:shd w:fill="F2F2F2" w:val="clear"/>
            <w:tcMar>
              <w:top w:type="dxa" w:w="80"/>
              <w:left w:type="dxa" w:w="100"/>
              <w:bottom w:type="dxa" w:w="80"/>
              <w:right w:type="dxa" w:w="100"/>
            </w:tcMar>
          </w:tcPr>
          <w:p>
            <w:pPr>
              <w:jc w:val="left"/>
            </w:pPr>
            <w:r>
              <w:rPr>
                <w:b w:val="false"/>
                <w:bCs w:val="false"/>
              </w:rPr>
              <w:t xml:space="preserve">Retain</w:t>
            </w:r>
          </w:p>
        </w:tc>
        <w:tc>
          <w:tcPr>
            <w:tcW w:type="dxa" w:w="2500"/>
            <w:shd w:fill="F2F2F2" w:val="clear"/>
            <w:tcMar>
              <w:top w:type="dxa" w:w="80"/>
              <w:left w:type="dxa" w:w="100"/>
              <w:bottom w:type="dxa" w:w="80"/>
              <w:right w:type="dxa" w:w="100"/>
            </w:tcMar>
          </w:tcPr>
          <w:p>
            <w:pPr>
              <w:jc w:val="left"/>
            </w:pPr>
            <w:r>
              <w:rPr>
                <w:b w:val="false"/>
                <w:bCs w:val="false"/>
              </w:rPr>
              <w:t xml:space="preserve">One of the strongest single predictors in the dataset</w:t>
            </w:r>
          </w:p>
        </w:tc>
      </w:tr>
      <w:tr>
        <w:tc>
          <w:tcPr>
            <w:tcW w:type="dxa" w:w="2400"/>
            <w:tcMar>
              <w:top w:type="dxa" w:w="80"/>
              <w:left w:type="dxa" w:w="100"/>
              <w:bottom w:type="dxa" w:w="80"/>
              <w:right w:type="dxa" w:w="100"/>
            </w:tcMar>
          </w:tcPr>
          <w:p>
            <w:pPr>
              <w:jc w:val="left"/>
            </w:pPr>
            <w:r>
              <w:rPr>
                <w:b w:val="false"/>
                <w:bCs w:val="false"/>
              </w:rPr>
              <w:t xml:space="preserve">ChestPainType (raw)</w:t>
            </w:r>
          </w:p>
        </w:tc>
        <w:tc>
          <w:tcPr>
            <w:tcW w:type="dxa" w:w="2600"/>
            <w:tcMar>
              <w:top w:type="dxa" w:w="80"/>
              <w:left w:type="dxa" w:w="100"/>
              <w:bottom w:type="dxa" w:w="80"/>
              <w:right w:type="dxa" w:w="100"/>
            </w:tcMar>
          </w:tcPr>
          <w:p>
            <w:pPr>
              <w:jc w:val="left"/>
            </w:pPr>
            <w:r>
              <w:rPr>
                <w:b w:val="false"/>
                <w:bCs w:val="false"/>
              </w:rPr>
              <w:t xml:space="preserve">Test 3 (p≈8.1×10⁻⁵⁸, V=0.54)</w:t>
            </w:r>
          </w:p>
        </w:tc>
        <w:tc>
          <w:tcPr>
            <w:tcW w:type="dxa" w:w="2100"/>
            <w:tcMar>
              <w:top w:type="dxa" w:w="80"/>
              <w:left w:type="dxa" w:w="100"/>
              <w:bottom w:type="dxa" w:w="80"/>
              <w:right w:type="dxa" w:w="100"/>
            </w:tcMar>
          </w:tcPr>
          <w:p>
            <w:pPr>
              <w:jc w:val="left"/>
            </w:pPr>
            <w:r>
              <w:rPr>
                <w:b w:val="false"/>
                <w:bCs w:val="false"/>
              </w:rPr>
              <w:t xml:space="preserve">Retain in refined dataset; replaced for modelling</w:t>
            </w:r>
          </w:p>
        </w:tc>
        <w:tc>
          <w:tcPr>
            <w:tcW w:type="dxa" w:w="2500"/>
            <w:tcMar>
              <w:top w:type="dxa" w:w="80"/>
              <w:left w:type="dxa" w:w="100"/>
              <w:bottom w:type="dxa" w:w="80"/>
              <w:right w:type="dxa" w:w="100"/>
            </w:tcMar>
          </w:tcPr>
          <w:p>
            <w:pPr>
              <w:jc w:val="left"/>
            </w:pPr>
            <w:r>
              <w:rPr>
                <w:b w:val="false"/>
                <w:bCs w:val="false"/>
              </w:rPr>
              <w:t xml:space="preserve">Kept in human-readable form for reporting; ChestPainRiskRank stands in for the ML-ready encoding</w:t>
            </w:r>
          </w:p>
        </w:tc>
      </w:tr>
      <w:tr>
        <w:tc>
          <w:tcPr>
            <w:tcW w:type="dxa" w:w="2400"/>
            <w:shd w:fill="F2F2F2" w:val="clear"/>
            <w:tcMar>
              <w:top w:type="dxa" w:w="80"/>
              <w:left w:type="dxa" w:w="100"/>
              <w:bottom w:type="dxa" w:w="80"/>
              <w:right w:type="dxa" w:w="100"/>
            </w:tcMar>
          </w:tcPr>
          <w:p>
            <w:pPr>
              <w:jc w:val="left"/>
            </w:pPr>
            <w:r>
              <w:rPr>
                <w:b w:val="false"/>
                <w:bCs w:val="false"/>
              </w:rPr>
              <w:t xml:space="preserve">ExerciseAngina</w:t>
            </w:r>
          </w:p>
        </w:tc>
        <w:tc>
          <w:tcPr>
            <w:tcW w:type="dxa" w:w="2600"/>
            <w:shd w:fill="F2F2F2" w:val="clear"/>
            <w:tcMar>
              <w:top w:type="dxa" w:w="80"/>
              <w:left w:type="dxa" w:w="100"/>
              <w:bottom w:type="dxa" w:w="80"/>
              <w:right w:type="dxa" w:w="100"/>
            </w:tcMar>
          </w:tcPr>
          <w:p>
            <w:pPr>
              <w:jc w:val="left"/>
            </w:pPr>
            <w:r>
              <w:rPr>
                <w:b w:val="false"/>
                <w:bCs w:val="false"/>
              </w:rPr>
              <w:t xml:space="preserve">Test 4 (p≈2.9×10⁻⁵⁰, φ=0.49)</w:t>
            </w:r>
          </w:p>
        </w:tc>
        <w:tc>
          <w:tcPr>
            <w:tcW w:type="dxa" w:w="2100"/>
            <w:shd w:fill="F2F2F2" w:val="clear"/>
            <w:tcMar>
              <w:top w:type="dxa" w:w="80"/>
              <w:left w:type="dxa" w:w="100"/>
              <w:bottom w:type="dxa" w:w="80"/>
              <w:right w:type="dxa" w:w="100"/>
            </w:tcMar>
          </w:tcPr>
          <w:p>
            <w:pPr>
              <w:jc w:val="left"/>
            </w:pPr>
            <w:r>
              <w:rPr>
                <w:b w:val="false"/>
                <w:bCs w:val="false"/>
              </w:rPr>
              <w:t xml:space="preserve">Retain</w:t>
            </w:r>
          </w:p>
        </w:tc>
        <w:tc>
          <w:tcPr>
            <w:tcW w:type="dxa" w:w="2500"/>
            <w:shd w:fill="F2F2F2" w:val="clear"/>
            <w:tcMar>
              <w:top w:type="dxa" w:w="80"/>
              <w:left w:type="dxa" w:w="100"/>
              <w:bottom w:type="dxa" w:w="80"/>
              <w:right w:type="dxa" w:w="100"/>
            </w:tcMar>
          </w:tcPr>
          <w:p>
            <w:pPr>
              <w:jc w:val="left"/>
            </w:pPr>
            <w:r>
              <w:rPr>
                <w:b w:val="false"/>
                <w:bCs w:val="false"/>
              </w:rPr>
              <w:t xml:space="preserve">Strong standalone signal, independent value beyond ExertionRiskFlag confirmed by RF importance</w:t>
            </w:r>
          </w:p>
        </w:tc>
      </w:tr>
      <w:tr>
        <w:tc>
          <w:tcPr>
            <w:tcW w:type="dxa" w:w="2400"/>
            <w:tcMar>
              <w:top w:type="dxa" w:w="80"/>
              <w:left w:type="dxa" w:w="100"/>
              <w:bottom w:type="dxa" w:w="80"/>
              <w:right w:type="dxa" w:w="100"/>
            </w:tcMar>
          </w:tcPr>
          <w:p>
            <w:pPr>
              <w:jc w:val="left"/>
            </w:pPr>
            <w:r>
              <w:rPr>
                <w:b w:val="false"/>
                <w:bCs w:val="false"/>
              </w:rPr>
              <w:t xml:space="preserve">Cholesterol</w:t>
            </w:r>
          </w:p>
        </w:tc>
        <w:tc>
          <w:tcPr>
            <w:tcW w:type="dxa" w:w="2600"/>
            <w:tcMar>
              <w:top w:type="dxa" w:w="80"/>
              <w:left w:type="dxa" w:w="100"/>
              <w:bottom w:type="dxa" w:w="80"/>
              <w:right w:type="dxa" w:w="100"/>
            </w:tcMar>
          </w:tcPr>
          <w:p>
            <w:pPr>
              <w:jc w:val="left"/>
            </w:pPr>
            <w:r>
              <w:rPr>
                <w:b w:val="false"/>
                <w:bCs w:val="false"/>
              </w:rPr>
              <w:t xml:space="preserve">Test 5 (p≈0.0002, small effect)</w:t>
            </w:r>
          </w:p>
        </w:tc>
        <w:tc>
          <w:tcPr>
            <w:tcW w:type="dxa" w:w="2100"/>
            <w:tcMar>
              <w:top w:type="dxa" w:w="80"/>
              <w:left w:type="dxa" w:w="100"/>
              <w:bottom w:type="dxa" w:w="80"/>
              <w:right w:type="dxa" w:w="100"/>
            </w:tcMar>
          </w:tcPr>
          <w:p>
            <w:pPr>
              <w:jc w:val="left"/>
            </w:pPr>
            <w:r>
              <w:rPr>
                <w:b w:val="false"/>
                <w:bCs w:val="false"/>
              </w:rPr>
              <w:t xml:space="preserve">Retain</w:t>
            </w:r>
          </w:p>
        </w:tc>
        <w:tc>
          <w:tcPr>
            <w:tcW w:type="dxa" w:w="2500"/>
            <w:tcMar>
              <w:top w:type="dxa" w:w="80"/>
              <w:left w:type="dxa" w:w="100"/>
              <w:bottom w:type="dxa" w:w="80"/>
              <w:right w:type="dxa" w:w="100"/>
            </w:tcMar>
          </w:tcPr>
          <w:p>
            <w:pPr>
              <w:jc w:val="left"/>
            </w:pPr>
            <w:r>
              <w:rPr>
                <w:b w:val="false"/>
                <w:bCs w:val="false"/>
              </w:rPr>
              <w:t xml:space="preserve">Still independently associated with target; Test 5's small effect was across chest-pain groups, not against the target directly</w:t>
            </w:r>
          </w:p>
        </w:tc>
      </w:tr>
      <w:tr>
        <w:tc>
          <w:tcPr>
            <w:tcW w:type="dxa" w:w="2400"/>
            <w:shd w:fill="F2F2F2" w:val="clear"/>
            <w:tcMar>
              <w:top w:type="dxa" w:w="80"/>
              <w:left w:type="dxa" w:w="100"/>
              <w:bottom w:type="dxa" w:w="80"/>
              <w:right w:type="dxa" w:w="100"/>
            </w:tcMar>
          </w:tcPr>
          <w:p>
            <w:pPr>
              <w:jc w:val="left"/>
            </w:pPr>
            <w:r>
              <w:rPr>
                <w:b w:val="false"/>
                <w:bCs w:val="false"/>
              </w:rPr>
              <w:t xml:space="preserve">Sex</w:t>
            </w:r>
          </w:p>
        </w:tc>
        <w:tc>
          <w:tcPr>
            <w:tcW w:type="dxa" w:w="2600"/>
            <w:shd w:fill="F2F2F2" w:val="clear"/>
            <w:tcMar>
              <w:top w:type="dxa" w:w="80"/>
              <w:left w:type="dxa" w:w="100"/>
              <w:bottom w:type="dxa" w:w="80"/>
              <w:right w:type="dxa" w:w="100"/>
            </w:tcMar>
          </w:tcPr>
          <w:p>
            <w:pPr>
              <w:jc w:val="left"/>
            </w:pPr>
            <w:r>
              <w:rPr>
                <w:b w:val="false"/>
                <w:bCs w:val="false"/>
              </w:rPr>
              <w:t xml:space="preserve">Test 6 (p≈4.6×10⁻²⁰)</w:t>
            </w:r>
          </w:p>
        </w:tc>
        <w:tc>
          <w:tcPr>
            <w:tcW w:type="dxa" w:w="2100"/>
            <w:shd w:fill="F2F2F2" w:val="clear"/>
            <w:tcMar>
              <w:top w:type="dxa" w:w="80"/>
              <w:left w:type="dxa" w:w="100"/>
              <w:bottom w:type="dxa" w:w="80"/>
              <w:right w:type="dxa" w:w="100"/>
            </w:tcMar>
          </w:tcPr>
          <w:p>
            <w:pPr>
              <w:jc w:val="left"/>
            </w:pPr>
            <w:r>
              <w:rPr>
                <w:b w:val="false"/>
                <w:bCs w:val="false"/>
              </w:rPr>
              <w:t xml:space="preserve">Retain</w:t>
            </w:r>
          </w:p>
        </w:tc>
        <w:tc>
          <w:tcPr>
            <w:tcW w:type="dxa" w:w="2500"/>
            <w:shd w:fill="F2F2F2" w:val="clear"/>
            <w:tcMar>
              <w:top w:type="dxa" w:w="80"/>
              <w:left w:type="dxa" w:w="100"/>
              <w:bottom w:type="dxa" w:w="80"/>
              <w:right w:type="dxa" w:w="100"/>
            </w:tcMar>
          </w:tcPr>
          <w:p>
            <w:pPr>
              <w:jc w:val="left"/>
            </w:pPr>
            <w:r>
              <w:rPr>
                <w:b w:val="false"/>
                <w:bCs w:val="false"/>
              </w:rPr>
              <w:t xml:space="preserve">Significant association; flagged for fairness monitoring rather than removal</w:t>
            </w:r>
          </w:p>
        </w:tc>
      </w:tr>
      <w:tr>
        <w:tc>
          <w:tcPr>
            <w:tcW w:type="dxa" w:w="2400"/>
            <w:tcMar>
              <w:top w:type="dxa" w:w="80"/>
              <w:left w:type="dxa" w:w="100"/>
              <w:bottom w:type="dxa" w:w="80"/>
              <w:right w:type="dxa" w:w="100"/>
            </w:tcMar>
          </w:tcPr>
          <w:p>
            <w:pPr>
              <w:jc w:val="left"/>
            </w:pPr>
            <w:r>
              <w:rPr>
                <w:b w:val="false"/>
                <w:bCs w:val="false"/>
              </w:rPr>
              <w:t xml:space="preserve">ChestPainRiskRank (new)</w:t>
            </w:r>
          </w:p>
        </w:tc>
        <w:tc>
          <w:tcPr>
            <w:tcW w:type="dxa" w:w="2600"/>
            <w:tcMar>
              <w:top w:type="dxa" w:w="80"/>
              <w:left w:type="dxa" w:w="100"/>
              <w:bottom w:type="dxa" w:w="80"/>
              <w:right w:type="dxa" w:w="100"/>
            </w:tcMar>
          </w:tcPr>
          <w:p>
            <w:pPr>
              <w:jc w:val="left"/>
            </w:pPr>
            <w:r>
              <w:rPr>
                <w:b w:val="false"/>
                <w:bCs w:val="false"/>
              </w:rPr>
              <w:t xml:space="preserve">r=0.537 with target; rank 3 of 14 in RF importance</w:t>
            </w:r>
          </w:p>
        </w:tc>
        <w:tc>
          <w:tcPr>
            <w:tcW w:type="dxa" w:w="2100"/>
            <w:tcMar>
              <w:top w:type="dxa" w:w="80"/>
              <w:left w:type="dxa" w:w="100"/>
              <w:bottom w:type="dxa" w:w="80"/>
              <w:right w:type="dxa" w:w="100"/>
            </w:tcMar>
          </w:tcPr>
          <w:p>
            <w:pPr>
              <w:jc w:val="left"/>
            </w:pPr>
            <w:r>
              <w:rPr>
                <w:b w:val="false"/>
                <w:bCs w:val="false"/>
              </w:rPr>
              <w:t xml:space="preserve">Retain — replaces one-hot ChestPainType</w:t>
            </w:r>
          </w:p>
        </w:tc>
        <w:tc>
          <w:tcPr>
            <w:tcW w:type="dxa" w:w="2500"/>
            <w:tcMar>
              <w:top w:type="dxa" w:w="80"/>
              <w:left w:type="dxa" w:w="100"/>
              <w:bottom w:type="dxa" w:w="80"/>
              <w:right w:type="dxa" w:w="100"/>
            </w:tcMar>
          </w:tcPr>
          <w:p>
            <w:pPr>
              <w:jc w:val="left"/>
            </w:pPr>
            <w:r>
              <w:rPr>
                <w:b w:val="false"/>
                <w:bCs w:val="false"/>
              </w:rPr>
              <w:t xml:space="preserve">Strongest engineered feature; preserves a genuine monotonic pattern in one column instead of three</w:t>
            </w:r>
          </w:p>
        </w:tc>
      </w:tr>
      <w:tr>
        <w:tc>
          <w:tcPr>
            <w:tcW w:type="dxa" w:w="2400"/>
            <w:shd w:fill="F2F2F2" w:val="clear"/>
            <w:tcMar>
              <w:top w:type="dxa" w:w="80"/>
              <w:left w:type="dxa" w:w="100"/>
              <w:bottom w:type="dxa" w:w="80"/>
              <w:right w:type="dxa" w:w="100"/>
            </w:tcMar>
          </w:tcPr>
          <w:p>
            <w:pPr>
              <w:jc w:val="left"/>
            </w:pPr>
            <w:r>
              <w:rPr>
                <w:b w:val="false"/>
                <w:bCs w:val="false"/>
              </w:rPr>
              <w:t xml:space="preserve">ExertionRiskFlag (new)</w:t>
            </w:r>
          </w:p>
        </w:tc>
        <w:tc>
          <w:tcPr>
            <w:tcW w:type="dxa" w:w="2600"/>
            <w:shd w:fill="F2F2F2" w:val="clear"/>
            <w:tcMar>
              <w:top w:type="dxa" w:w="80"/>
              <w:left w:type="dxa" w:w="100"/>
              <w:bottom w:type="dxa" w:w="80"/>
              <w:right w:type="dxa" w:w="100"/>
            </w:tcMar>
          </w:tcPr>
          <w:p>
            <w:pPr>
              <w:jc w:val="left"/>
            </w:pPr>
            <w:r>
              <w:rPr>
                <w:b w:val="false"/>
                <w:bCs w:val="false"/>
              </w:rPr>
              <w:t xml:space="preserve">V=0.46; non-trivial RF importance beyond parent columns</w:t>
            </w:r>
          </w:p>
        </w:tc>
        <w:tc>
          <w:tcPr>
            <w:tcW w:type="dxa" w:w="2100"/>
            <w:shd w:fill="F2F2F2" w:val="clear"/>
            <w:tcMar>
              <w:top w:type="dxa" w:w="80"/>
              <w:left w:type="dxa" w:w="100"/>
              <w:bottom w:type="dxa" w:w="80"/>
              <w:right w:type="dxa" w:w="100"/>
            </w:tcMar>
          </w:tcPr>
          <w:p>
            <w:pPr>
              <w:jc w:val="left"/>
            </w:pPr>
            <w:r>
              <w:rPr>
                <w:b w:val="false"/>
                <w:bCs w:val="false"/>
              </w:rPr>
              <w:t xml:space="preserve">Retain</w:t>
            </w:r>
          </w:p>
        </w:tc>
        <w:tc>
          <w:tcPr>
            <w:tcW w:type="dxa" w:w="2500"/>
            <w:shd w:fill="F2F2F2" w:val="clear"/>
            <w:tcMar>
              <w:top w:type="dxa" w:w="80"/>
              <w:left w:type="dxa" w:w="100"/>
              <w:bottom w:type="dxa" w:w="80"/>
              <w:right w:type="dxa" w:w="100"/>
            </w:tcMar>
          </w:tcPr>
          <w:p>
            <w:pPr>
              <w:jc w:val="left"/>
            </w:pPr>
            <w:r>
              <w:rPr>
                <w:b w:val="false"/>
                <w:bCs w:val="false"/>
              </w:rPr>
              <w:t xml:space="preserve">Adds interaction signal beyond either source column alone</w:t>
            </w:r>
          </w:p>
        </w:tc>
      </w:tr>
      <w:tr>
        <w:tc>
          <w:tcPr>
            <w:tcW w:type="dxa" w:w="2400"/>
            <w:tcMar>
              <w:top w:type="dxa" w:w="80"/>
              <w:left w:type="dxa" w:w="100"/>
              <w:bottom w:type="dxa" w:w="80"/>
              <w:right w:type="dxa" w:w="100"/>
            </w:tcMar>
          </w:tcPr>
          <w:p>
            <w:pPr>
              <w:jc w:val="left"/>
            </w:pPr>
            <w:r>
              <w:rPr>
                <w:b w:val="false"/>
                <w:bCs w:val="false"/>
              </w:rPr>
              <w:t xml:space="preserve">BPCategory (new)</w:t>
            </w:r>
          </w:p>
        </w:tc>
        <w:tc>
          <w:tcPr>
            <w:tcW w:type="dxa" w:w="2600"/>
            <w:tcMar>
              <w:top w:type="dxa" w:w="80"/>
              <w:left w:type="dxa" w:w="100"/>
              <w:bottom w:type="dxa" w:w="80"/>
              <w:right w:type="dxa" w:w="100"/>
            </w:tcMar>
          </w:tcPr>
          <w:p>
            <w:pPr>
              <w:jc w:val="left"/>
            </w:pPr>
            <w:r>
              <w:rPr>
                <w:b w:val="false"/>
                <w:bCs w:val="false"/>
              </w:rPr>
              <w:t xml:space="preserve">Weakest significant test (p=0.007); coarsens RestingBP</w:t>
            </w:r>
          </w:p>
        </w:tc>
        <w:tc>
          <w:tcPr>
            <w:tcW w:type="dxa" w:w="2100"/>
            <w:tcMar>
              <w:top w:type="dxa" w:w="80"/>
              <w:left w:type="dxa" w:w="100"/>
              <w:bottom w:type="dxa" w:w="80"/>
              <w:right w:type="dxa" w:w="100"/>
            </w:tcMar>
          </w:tcPr>
          <w:p>
            <w:pPr>
              <w:jc w:val="left"/>
            </w:pPr>
            <w:r>
              <w:rPr>
                <w:b w:val="false"/>
                <w:bCs w:val="false"/>
              </w:rPr>
              <w:t xml:space="preserve">Retain for reporting only; excluded from ML-ready set</w:t>
            </w:r>
          </w:p>
        </w:tc>
        <w:tc>
          <w:tcPr>
            <w:tcW w:type="dxa" w:w="2500"/>
            <w:tcMar>
              <w:top w:type="dxa" w:w="80"/>
              <w:left w:type="dxa" w:w="100"/>
              <w:bottom w:type="dxa" w:w="80"/>
              <w:right w:type="dxa" w:w="100"/>
            </w:tcMar>
          </w:tcPr>
          <w:p>
            <w:pPr>
              <w:jc w:val="left"/>
            </w:pPr>
            <w:r>
              <w:rPr>
                <w:b w:val="false"/>
                <w:bCs w:val="false"/>
              </w:rPr>
              <w:t xml:space="preserve">RestingBP (continuous) already carries this signal more precisely for modelling purposes</w:t>
            </w:r>
          </w:p>
        </w:tc>
      </w:tr>
      <w:tr>
        <w:tc>
          <w:tcPr>
            <w:tcW w:type="dxa" w:w="2400"/>
            <w:shd w:fill="F2F2F2" w:val="clear"/>
            <w:tcMar>
              <w:top w:type="dxa" w:w="80"/>
              <w:left w:type="dxa" w:w="100"/>
              <w:bottom w:type="dxa" w:w="80"/>
              <w:right w:type="dxa" w:w="100"/>
            </w:tcMar>
          </w:tcPr>
          <w:p>
            <w:pPr>
              <w:jc w:val="left"/>
            </w:pPr>
            <w:r>
              <w:rPr>
                <w:b w:val="false"/>
                <w:bCs w:val="false"/>
              </w:rPr>
              <w:t xml:space="preserve">HRReserveDeficit (new)</w:t>
            </w:r>
          </w:p>
        </w:tc>
        <w:tc>
          <w:tcPr>
            <w:tcW w:type="dxa" w:w="2600"/>
            <w:shd w:fill="F2F2F2" w:val="clear"/>
            <w:tcMar>
              <w:top w:type="dxa" w:w="80"/>
              <w:left w:type="dxa" w:w="100"/>
              <w:bottom w:type="dxa" w:w="80"/>
              <w:right w:type="dxa" w:w="100"/>
            </w:tcMar>
          </w:tcPr>
          <w:p>
            <w:pPr>
              <w:jc w:val="left"/>
            </w:pPr>
            <w:r>
              <w:rPr>
                <w:b w:val="false"/>
                <w:bCs w:val="false"/>
              </w:rPr>
              <w:t xml:space="preserve">r=−0.93 with MaxHR</w:t>
            </w:r>
          </w:p>
        </w:tc>
        <w:tc>
          <w:tcPr>
            <w:tcW w:type="dxa" w:w="2100"/>
            <w:shd w:fill="F2F2F2" w:val="clear"/>
            <w:tcMar>
              <w:top w:type="dxa" w:w="80"/>
              <w:left w:type="dxa" w:w="100"/>
              <w:bottom w:type="dxa" w:w="80"/>
              <w:right w:type="dxa" w:w="100"/>
            </w:tcMar>
          </w:tcPr>
          <w:p>
            <w:pPr>
              <w:jc w:val="left"/>
            </w:pPr>
            <w:r>
              <w:rPr>
                <w:b w:val="false"/>
                <w:bCs w:val="false"/>
              </w:rPr>
              <w:t xml:space="preserve">Drop</w:t>
            </w:r>
          </w:p>
        </w:tc>
        <w:tc>
          <w:tcPr>
            <w:tcW w:type="dxa" w:w="2500"/>
            <w:shd w:fill="F2F2F2" w:val="clear"/>
            <w:tcMar>
              <w:top w:type="dxa" w:w="80"/>
              <w:left w:type="dxa" w:w="100"/>
              <w:bottom w:type="dxa" w:w="80"/>
              <w:right w:type="dxa" w:w="100"/>
            </w:tcMar>
          </w:tcPr>
          <w:p>
            <w:pPr>
              <w:jc w:val="left"/>
            </w:pPr>
            <w:r>
              <w:rPr>
                <w:b w:val="false"/>
                <w:bCs w:val="false"/>
              </w:rPr>
              <w:t xml:space="preserve">Near-total redundancy; adds no independent information</w:t>
            </w:r>
          </w:p>
        </w:tc>
      </w:tr>
      <w:tr>
        <w:tc>
          <w:tcPr>
            <w:tcW w:type="dxa" w:w="2400"/>
            <w:tcMar>
              <w:top w:type="dxa" w:w="80"/>
              <w:left w:type="dxa" w:w="100"/>
              <w:bottom w:type="dxa" w:w="80"/>
              <w:right w:type="dxa" w:w="100"/>
            </w:tcMar>
          </w:tcPr>
          <w:p>
            <w:pPr>
              <w:jc w:val="left"/>
            </w:pPr>
            <w:r>
              <w:rPr>
                <w:b w:val="false"/>
                <w:bCs w:val="false"/>
              </w:rPr>
              <w:t xml:space="preserve">CholesterolAgeRatio (new)</w:t>
            </w:r>
          </w:p>
        </w:tc>
        <w:tc>
          <w:tcPr>
            <w:tcW w:type="dxa" w:w="2600"/>
            <w:tcMar>
              <w:top w:type="dxa" w:w="80"/>
              <w:left w:type="dxa" w:w="100"/>
              <w:bottom w:type="dxa" w:w="80"/>
              <w:right w:type="dxa" w:w="100"/>
            </w:tcMar>
          </w:tcPr>
          <w:p>
            <w:pPr>
              <w:jc w:val="left"/>
            </w:pPr>
            <w:r>
              <w:rPr>
                <w:b w:val="false"/>
                <w:bCs w:val="false"/>
              </w:rPr>
              <w:t xml:space="preserve">Sign-flipped vs. raw Cholesterol; confounded by Age</w:t>
            </w:r>
          </w:p>
        </w:tc>
        <w:tc>
          <w:tcPr>
            <w:tcW w:type="dxa" w:w="2100"/>
            <w:tcMar>
              <w:top w:type="dxa" w:w="80"/>
              <w:left w:type="dxa" w:w="100"/>
              <w:bottom w:type="dxa" w:w="80"/>
              <w:right w:type="dxa" w:w="100"/>
            </w:tcMar>
          </w:tcPr>
          <w:p>
            <w:pPr>
              <w:jc w:val="left"/>
            </w:pPr>
            <w:r>
              <w:rPr>
                <w:b w:val="false"/>
                <w:bCs w:val="false"/>
              </w:rPr>
              <w:t xml:space="preserve">Drop</w:t>
            </w:r>
          </w:p>
        </w:tc>
        <w:tc>
          <w:tcPr>
            <w:tcW w:type="dxa" w:w="2500"/>
            <w:tcMar>
              <w:top w:type="dxa" w:w="80"/>
              <w:left w:type="dxa" w:w="100"/>
              <w:bottom w:type="dxa" w:w="80"/>
              <w:right w:type="dxa" w:w="100"/>
            </w:tcMar>
          </w:tcPr>
          <w:p>
            <w:pPr>
              <w:jc w:val="left"/>
            </w:pPr>
            <w:r>
              <w:rPr>
                <w:b w:val="false"/>
                <w:bCs w:val="false"/>
              </w:rPr>
              <w:t xml:space="preserve">Direction of relationship with target is unreliable and would mislead a non-technical reader</w:t>
            </w:r>
          </w:p>
        </w:tc>
      </w:tr>
      <w:tr>
        <w:tc>
          <w:tcPr>
            <w:tcW w:type="dxa" w:w="2400"/>
            <w:shd w:fill="F2F2F2" w:val="clear"/>
            <w:tcMar>
              <w:top w:type="dxa" w:w="80"/>
              <w:left w:type="dxa" w:w="100"/>
              <w:bottom w:type="dxa" w:w="80"/>
              <w:right w:type="dxa" w:w="100"/>
            </w:tcMar>
          </w:tcPr>
          <w:p>
            <w:pPr>
              <w:jc w:val="left"/>
            </w:pPr>
            <w:r>
              <w:rPr>
                <w:b w:val="false"/>
                <w:bCs w:val="false"/>
              </w:rPr>
              <w:t xml:space="preserve">RiskFactorCount (Wk2)</w:t>
            </w:r>
          </w:p>
        </w:tc>
        <w:tc>
          <w:tcPr>
            <w:tcW w:type="dxa" w:w="2600"/>
            <w:shd w:fill="F2F2F2" w:val="clear"/>
            <w:tcMar>
              <w:top w:type="dxa" w:w="80"/>
              <w:left w:type="dxa" w:w="100"/>
              <w:bottom w:type="dxa" w:w="80"/>
              <w:right w:type="dxa" w:w="100"/>
            </w:tcMar>
          </w:tcPr>
          <w:p>
            <w:pPr>
              <w:jc w:val="left"/>
            </w:pPr>
            <w:r>
              <w:rPr>
                <w:b w:val="false"/>
                <w:bCs w:val="false"/>
              </w:rPr>
              <w:t xml:space="preserve">Low individual RF importance per Week 2 report; no new evidence gathered this week</w:t>
            </w:r>
          </w:p>
        </w:tc>
        <w:tc>
          <w:tcPr>
            <w:tcW w:type="dxa" w:w="2100"/>
            <w:shd w:fill="F2F2F2" w:val="clear"/>
            <w:tcMar>
              <w:top w:type="dxa" w:w="80"/>
              <w:left w:type="dxa" w:w="100"/>
              <w:bottom w:type="dxa" w:w="80"/>
              <w:right w:type="dxa" w:w="100"/>
            </w:tcMar>
          </w:tcPr>
          <w:p>
            <w:pPr>
              <w:jc w:val="left"/>
            </w:pPr>
            <w:r>
              <w:rPr>
                <w:b w:val="false"/>
                <w:bCs w:val="false"/>
              </w:rPr>
              <w:t xml:space="preserve">Retain — no new evidence to revisit</w:t>
            </w:r>
          </w:p>
        </w:tc>
        <w:tc>
          <w:tcPr>
            <w:tcW w:type="dxa" w:w="2500"/>
            <w:shd w:fill="F2F2F2" w:val="clear"/>
            <w:tcMar>
              <w:top w:type="dxa" w:w="80"/>
              <w:left w:type="dxa" w:w="100"/>
              <w:bottom w:type="dxa" w:w="80"/>
              <w:right w:type="dxa" w:w="100"/>
            </w:tcMar>
          </w:tcPr>
          <w:p>
            <w:pPr>
              <w:jc w:val="left"/>
            </w:pPr>
            <w:r>
              <w:rPr>
                <w:b w:val="false"/>
                <w:bCs w:val="false"/>
              </w:rPr>
              <w:t xml:space="preserve">Costs nothing to include; Week 2's justification stands</w:t>
            </w:r>
          </w:p>
        </w:tc>
      </w:tr>
      <w:tr>
        <w:tc>
          <w:tcPr>
            <w:tcW w:type="dxa" w:w="2400"/>
            <w:tcMar>
              <w:top w:type="dxa" w:w="80"/>
              <w:left w:type="dxa" w:w="100"/>
              <w:bottom w:type="dxa" w:w="80"/>
              <w:right w:type="dxa" w:w="100"/>
            </w:tcMar>
          </w:tcPr>
          <w:p>
            <w:pPr>
              <w:jc w:val="left"/>
            </w:pPr>
            <w:r>
              <w:rPr>
                <w:b w:val="false"/>
                <w:bCs w:val="false"/>
              </w:rPr>
              <w:t xml:space="preserve">AgeGroup (Wk2)</w:t>
            </w:r>
          </w:p>
        </w:tc>
        <w:tc>
          <w:tcPr>
            <w:tcW w:type="dxa" w:w="2600"/>
            <w:tcMar>
              <w:top w:type="dxa" w:w="80"/>
              <w:left w:type="dxa" w:w="100"/>
              <w:bottom w:type="dxa" w:w="80"/>
              <w:right w:type="dxa" w:w="100"/>
            </w:tcMar>
          </w:tcPr>
          <w:p>
            <w:pPr>
              <w:jc w:val="left"/>
            </w:pPr>
            <w:r>
              <w:rPr>
                <w:b w:val="false"/>
                <w:bCs w:val="false"/>
              </w:rPr>
              <w:t xml:space="preserve">No new evidence gathered this week</w:t>
            </w:r>
          </w:p>
        </w:tc>
        <w:tc>
          <w:tcPr>
            <w:tcW w:type="dxa" w:w="2100"/>
            <w:tcMar>
              <w:top w:type="dxa" w:w="80"/>
              <w:left w:type="dxa" w:w="100"/>
              <w:bottom w:type="dxa" w:w="80"/>
              <w:right w:type="dxa" w:w="100"/>
            </w:tcMar>
          </w:tcPr>
          <w:p>
            <w:pPr>
              <w:jc w:val="left"/>
            </w:pPr>
            <w:r>
              <w:rPr>
                <w:b w:val="false"/>
                <w:bCs w:val="false"/>
              </w:rPr>
              <w:t xml:space="preserve">Retain — no new evidence to revisit</w:t>
            </w:r>
          </w:p>
        </w:tc>
        <w:tc>
          <w:tcPr>
            <w:tcW w:type="dxa" w:w="2500"/>
            <w:tcMar>
              <w:top w:type="dxa" w:w="80"/>
              <w:left w:type="dxa" w:w="100"/>
              <w:bottom w:type="dxa" w:w="80"/>
              <w:right w:type="dxa" w:w="100"/>
            </w:tcMar>
          </w:tcPr>
          <w:p>
            <w:pPr>
              <w:jc w:val="left"/>
            </w:pPr>
            <w:r>
              <w:rPr>
                <w:b w:val="false"/>
                <w:bCs w:val="false"/>
              </w:rPr>
              <w:t xml:space="preserve">Not re-litigating a Week 2 decision without cause</w:t>
            </w:r>
          </w:p>
        </w:tc>
      </w:tr>
    </w:tbl>
    <w:p>
      <w:pPr>
        <w:pStyle w:val="Heading1"/>
        <w:spacing w:after="160" w:before="320"/>
      </w:pPr>
      <w:r>
        <w:rPr>
          <w:color w:val="1F3864"/>
        </w:rPr>
        <w:t xml:space="preserve">7. Conclusion</w:t>
      </w:r>
    </w:p>
    <w:p>
      <w:pPr>
        <w:spacing w:after="160" w:line="276"/>
      </w:pPr>
      <w:r>
        <w:t xml:space="preserve">Of the five features engineered this week, three (ChestPainRiskRank, ExertionRiskFlag, BPCategory) were retained — two for direct modelling use and one for stakeholder reporting — and two (HRReserveDeficit, CholesterolAgeRatio) were dropped on clear, documented evidence of redundancy or confounding. No original Week 2 feature was removed; every one that tested as statistically meaningful this week was retained, and the two features Week 2 had already justified (AgeGroup, RiskFactorCount) were left untouched, consistent with the brief's instruction not to redo prior work without a specific reason. The resulting feature set is smaller than Week 2's ML-ready file by one column overall, despite the additions — a genuine simplification rather than just an expansion.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2026-08-21T09:39:51.351Z</dcterms:created>
  <dcterms:modified xsi:type="dcterms:W3CDTF">2026-08-21T09:39:51.352Z</dcterms:modified>
</cp:coreProperties>
</file>

<file path=docProps/custom.xml><?xml version="1.0" encoding="utf-8"?>
<Properties xmlns="http://schemas.openxmlformats.org/officeDocument/2006/custom-properties" xmlns:vt="http://schemas.openxmlformats.org/officeDocument/2006/docPropsVTypes"/>
</file>