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ANALYSTLAB AFRICA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Data Science Internship Programme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Updated Data Dictionary</w:t>
      </w:r>
    </w:p>
    <w:p>
      <w:pPr>
        <w:spacing w:after="300"/>
        <w:jc w:val="center"/>
      </w:pPr>
      <w:r>
        <w:rPr>
          <w:b/>
          <w:bCs/>
          <w:color w:val="C08A2E"/>
          <w:sz w:val="22"/>
          <w:szCs w:val="22"/>
        </w:rPr>
        <w:t xml:space="preserve">Employee Wellness Screening — Heart Disease Risk Analysis</w:t>
      </w:r>
    </w:p>
    <w:p>
      <w:pPr>
        <w:spacing w:after="400"/>
        <w:jc w:val="center"/>
      </w:pPr>
      <w:r>
        <w:rPr>
          <w:color w:val="595959"/>
          <w:sz w:val="18"/>
          <w:szCs w:val="18"/>
        </w:rPr>
        <w:t xml:space="preserve">Prepared by AnalystLab Africa Consulting  |  Week 3  |  August 2026</w:t>
      </w:r>
    </w:p>
    <w:p>
      <w:pPr>
        <w:pStyle w:val="Heading1"/>
        <w:spacing w:after="160" w:before="320"/>
      </w:pPr>
      <w:r>
        <w:rPr>
          <w:color w:val="1F3864"/>
        </w:rPr>
        <w:t xml:space="preserve">1. Purpose</w:t>
      </w:r>
    </w:p>
    <w:p>
      <w:pPr>
        <w:spacing w:after="160" w:line="276"/>
      </w:pPr>
      <w:r>
        <w:t xml:space="preserve">This dictionary documents the columns in the two Week 3 output files: heart_week3_refined.csv (human-readable, for reporting) and heart_final_modelling_dataset.csv (encoded and scaled, for Week 4 modelling). It supersedes the Week 2 dictionary embedded in the Data Preprocessing Report, carrying forward every unchanged column and flagging what's new.</w:t>
      </w:r>
    </w:p>
    <w:p>
      <w:pPr>
        <w:pStyle w:val="Heading1"/>
        <w:spacing w:after="160" w:before="320"/>
      </w:pPr>
      <w:r>
        <w:rPr>
          <w:color w:val="1F3864"/>
        </w:rPr>
        <w:t xml:space="preserve">2. heart_week3_refined.csv (918 rows × 15 columns)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 age in years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Sex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 (M/F)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 sex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ChestPainType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ATA / NAP / TA / ASY — chest pain presentation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RestingBP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Resting blood pressure (mmHg); Week 2 imputed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Cholesterol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Serum cholesterol (mg/dl); Week 2 imputed within ChestPainType groups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FastingBS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= fasting blood sugar &gt; 120 mg/dl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RestingECG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 / ST / LVH — resting ECG result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MaxHR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Maximum heart rate achieved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ExerciseAngina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 (Y/N)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Whether exercise induced angina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Oldpeak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 depression induced by exercise relative to rest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ST_Slope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 / Flat / Down — slope of peak exercise ST segment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HeartDisease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Target variable — 1 = has heart disease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ChestPainRiskRank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(0-3)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(Wk3) — ordinal risk rank of ChestPainType, 0=ATA (lowest) to 3=ASY (highest)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ExertionRiskFlag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(Wk3) — 1 if ExerciseAngina='Y' AND Oldpeak above the dataset median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BPCategory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(Wk3) — Normal / Elevated / Stage1_Hypertension / Stage2_Hypertension, binned from RestingBP</w:t>
            </w:r>
          </w:p>
        </w:tc>
      </w:tr>
    </w:tbl>
    <w:p>
      <w:pPr>
        <w:pStyle w:val="Heading1"/>
        <w:spacing w:after="160" w:before="320"/>
      </w:pPr>
      <w:r>
        <w:rPr>
          <w:color w:val="1F3864"/>
        </w:rPr>
        <w:t xml:space="preserve">3. heart_final_modelling_dataset.csv (918 rows × 19 columns)</w:t>
      </w:r>
    </w:p>
    <w:p>
      <w:pPr>
        <w:spacing w:after="160" w:line="276"/>
      </w:pPr>
      <w:r>
        <w:t xml:space="preserve">All numeric columns below marked "scaled" have been standardised (StandardScaler: mean 0, standard deviation 1). Binary flags, the ordinal risk rank, and one-hot dummy columns are left unscaled.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float64, scaled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Standardised patient age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Label-encoded (0=Female, 1=Male)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RestingBP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float64, scaled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Standardised resting blood pressure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Cholesterol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float64, scaled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Standardised serum cholesterol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FastingBloodSugarHigh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Renamed from FastingBS (Week 2 convention)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MaxHeartRate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float64, scaled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Renamed from MaxHR (Week 2 convention), standardised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ExerciseAngina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Label-encoded (0=N, 1=Y)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ST_Depression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float64, scaled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Renamed from Oldpeak (Week 2 convention), standardised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HeartDisease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Target variable — not scaled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ChestPainRiskRank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float64, scaled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(Wk3) — standardised ordinal chest pain risk rank; replaces the 3 ChestPainType one-hot columns from Week 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ExertionRiskFlag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(Wk3) — combined exercise-angina / high-Oldpeak flag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RiskFactorCount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float64, scaled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2 — standardised count (0-4) of major risk indicators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RestingECG_Normal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One-hot dummy (baseline: LVH)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RestingECG_ST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One-hot dummy (baseline: LVH)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ST_Slope_Flat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One-hot dummy (baseline: Down)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ST_Slope_Up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One-hot dummy (baseline: Down)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AgeGroup_50-59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One-hot dummy (baseline: Under40)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AgeGroup_60+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One-hot dummy (baseline: Under40)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AgeGroup_Under40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int64 (0/1)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One-hot dummy — note: Week 2's original 4-level AgeGroup is preserved unchanged; baseline category is 40-49</w:t>
            </w:r>
          </w:p>
        </w:tc>
      </w:tr>
    </w:tbl>
    <w:p>
      <w:pPr>
        <w:pStyle w:val="Heading1"/>
        <w:spacing w:after="160" w:before="320"/>
      </w:pPr>
      <w:r>
        <w:rPr>
          <w:color w:val="1F3864"/>
        </w:rPr>
        <w:t xml:space="preserve">4. Columns Removed Since Week 2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Reason for Removal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ChestPainType (one-hot dummies: ATA/NAP/TA)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Replaced by the single ordinal ChestPainRiskRank column — see Feature Engineering Documentation, Section 2.1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BPCategory (from ML-ready set only)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Retained in the refined/reporting dataset but excluded from the ML-ready set as a redundant coarsening of RestingBP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t xml:space="preserve">HRReserveDeficit and CholesterolAgeRatio were created and evaluated during this week's analysis but never entered either final CSV — see the Feature Engineering Documentation and Feature Evaluation and Selection Summary for the full reasoning.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2026-08-21T09:40:57.724Z</dcterms:created>
  <dcterms:modified xsi:type="dcterms:W3CDTF">2026-08-21T09:40:57.724Z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