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2"/>
          <w:szCs w:val="22"/>
        </w:rPr>
        <w:t xml:space="preserve">ANALYSTLAB AFRICA</w:t>
      </w:r>
    </w:p>
    <w:p>
      <w:pPr>
        <w:spacing w:after="200"/>
        <w:jc w:val="center"/>
      </w:pPr>
      <w:r>
        <w:rPr>
          <w:i/>
          <w:iCs/>
          <w:color w:val="595959"/>
          <w:sz w:val="18"/>
          <w:szCs w:val="18"/>
        </w:rPr>
        <w:t xml:space="preserve">Data Science Internship Programme</w:t>
      </w:r>
    </w:p>
    <w:p>
      <w:pPr>
        <w:spacing w:after="60"/>
        <w:jc w:val="center"/>
      </w:pPr>
      <w:r>
        <w:rPr>
          <w:b/>
          <w:bCs/>
          <w:sz w:val="32"/>
          <w:szCs w:val="32"/>
        </w:rPr>
        <w:t xml:space="preserve">Project Continuity Summary</w:t>
      </w:r>
    </w:p>
    <w:p>
      <w:pPr>
        <w:spacing w:after="300"/>
        <w:jc w:val="center"/>
      </w:pPr>
      <w:r>
        <w:rPr>
          <w:b/>
          <w:bCs/>
          <w:color w:val="C08A2E"/>
          <w:sz w:val="22"/>
          <w:szCs w:val="22"/>
        </w:rPr>
        <w:t xml:space="preserve">Employee Wellness Screening — Heart Disease Risk Analysis</w:t>
      </w:r>
    </w:p>
    <w:p>
      <w:pPr>
        <w:spacing w:after="400"/>
        <w:jc w:val="center"/>
      </w:pPr>
      <w:r>
        <w:rPr>
          <w:color w:val="595959"/>
          <w:sz w:val="18"/>
          <w:szCs w:val="18"/>
        </w:rPr>
        <w:t xml:space="preserve">Prepared by AnalystLab Africa Consulting  |  Week 3  |  August 2026</w:t>
      </w:r>
    </w:p>
    <w:p>
      <w:pPr>
        <w:pStyle w:val="Heading1"/>
        <w:spacing w:after="160" w:before="320"/>
      </w:pPr>
      <w:r>
        <w:rPr>
          <w:color w:val="1F3864"/>
        </w:rPr>
        <w:t xml:space="preserve">1. Purpose of This Document</w:t>
      </w:r>
    </w:p>
    <w:p>
      <w:pPr>
        <w:spacing w:after="160" w:line="276"/>
      </w:pPr>
      <w:r>
        <w:t xml:space="preserve">This summary bridges Week 3's advanced analysis to the work already completed in Weeks 1 and 2, as required before any deeper investigation begins. It restates the business problem, recaps the target variable, key prior findings and data-quality decisions, and closes with the specific open questions that this week's statistical testing and feature engineering were designed to answer.</w:t>
      </w:r>
    </w:p>
    <w:p>
      <w:pPr>
        <w:pStyle w:val="Heading1"/>
        <w:spacing w:after="160" w:before="320"/>
      </w:pPr>
      <w:r>
        <w:rPr>
          <w:color w:val="1F3864"/>
        </w:rPr>
        <w:t xml:space="preserve">2. The Business Problem</w:t>
      </w:r>
    </w:p>
    <w:p>
      <w:pPr>
        <w:spacing w:after="160" w:line="276"/>
      </w:pPr>
      <w:r>
        <w:t xml:space="preserve">ABC Manufacturing Ltd has engaged AnalystLab Africa Consulting to explore an employee wellness and occupational health screening initiative. The company runs a physically demanding manufacturing operation, and the underlying question is whether a patient's clinical measurements — blood pressure, cholesterol, exercise tolerance, chest pain presentation and related indicators — can flag employees at meaningfully higher risk of heart disease early enough that something can be done about it. As documented in the Week 2 Business Understanding Report, this analysis uses the IBM/Kaggle Heart Disease Prediction dataset as a stand-in for real patient data, and none of it should be read as actual medical guidance.</w:t>
      </w:r>
    </w:p>
    <w:p>
      <w:pPr>
        <w:spacing w:after="160" w:line="276"/>
      </w:pPr>
      <w:r>
        <w:t xml:space="preserve">It's worth being explicit about one point of project history: Week 1 explored a different dataset (the IBM HR Analytics attrition dataset) and a different business question (why employees leave). Week 2's brief allowed a free choice between two new datasets for the feature-engineering exercise, and the heart disease dataset was selected instead. Per the Week 3 brief's instruction to continue "the same business problem, the same dataset... from Week 2," this week's work builds directly on the wellness-screening thread Week 2 started, not the Week 1 attrition thread.</w:t>
      </w:r>
    </w:p>
    <w:p>
      <w:pPr>
        <w:pStyle w:val="Heading1"/>
        <w:spacing w:after="160" w:before="320"/>
      </w:pPr>
      <w:r>
        <w:rPr>
          <w:color w:val="1F3864"/>
        </w:rPr>
        <w:t xml:space="preserve">3. Project Objective</w:t>
      </w:r>
    </w:p>
    <w:p>
      <w:pPr>
        <w:spacing w:after="160" w:line="276"/>
      </w:pPr>
      <w:r>
        <w:t xml:space="preserve">The objective across Weeks 2-3 has been to take a raw clinical dataset and turn it into something a predictive model could responsibly be trained on in Week 4 — cleaning it properly, engineering features that carry more signal than the raw columns, validating relationships statistically rather than assuming they hold, and refining the feature set with evidence rather than guesswork.</w:t>
      </w:r>
    </w:p>
    <w:p>
      <w:pPr>
        <w:pStyle w:val="Heading1"/>
        <w:spacing w:after="160" w:before="320"/>
      </w:pPr>
      <w:r>
        <w:rPr>
          <w:color w:val="1F3864"/>
        </w:rPr>
        <w:t xml:space="preserve">4. Target Variable</w:t>
      </w:r>
    </w:p>
    <w:p>
      <w:pPr>
        <w:spacing w:after="160" w:line="276"/>
      </w:pPr>
      <w:r>
        <w:rPr>
          <w:b/>
          <w:bCs/>
        </w:rPr>
        <w:t xml:space="preserve">Variable: </w:t>
      </w:r>
      <w:r>
        <w:t xml:space="preserve">HeartDisease</w:t>
      </w:r>
    </w:p>
    <w:p>
      <w:pPr>
        <w:spacing w:after="160" w:line="276"/>
      </w:pPr>
      <w:r>
        <w:rPr>
          <w:b/>
          <w:bCs/>
        </w:rPr>
        <w:t xml:space="preserve">Type: </w:t>
      </w:r>
      <w:r>
        <w:t xml:space="preserve">Binary (1 = has heart disease, 0 = does not)</w:t>
      </w:r>
    </w:p>
    <w:p>
      <w:pPr>
        <w:spacing w:after="160" w:line="276"/>
      </w:pPr>
      <w:r>
        <w:rPr>
          <w:b/>
          <w:bCs/>
        </w:rPr>
        <w:t xml:space="preserve">Class balance: </w:t>
      </w:r>
      <w:r>
        <w:t xml:space="preserve">508 patients (55.3%) labelled 1, 410 patients (44.7%) labelled 0 — reasonably balanced, which simplifies both this week's statistical testing and Week 4's eventual model evaluation.</w:t>
      </w:r>
    </w:p>
    <w:p>
      <w:pPr>
        <w:pStyle w:val="Heading1"/>
        <w:spacing w:after="160" w:before="320"/>
      </w:pPr>
      <w:r>
        <w:rPr>
          <w:color w:val="1F3864"/>
        </w:rPr>
        <w:t xml:space="preserve">5. Key Findings Carried Forward From Week 2</w:t>
      </w:r>
    </w:p>
    <w:p>
      <w:pPr>
        <w:pStyle w:val="ListParagraph"/>
        <w:numPr>
          <w:ilvl w:val="0"/>
          <w:numId w:val="1"/>
        </w:numPr>
        <w:spacing w:after="90" w:line="276"/>
      </w:pPr>
      <w:r>
        <w:t xml:space="preserve">The dataset looked perfectly clean by pandas' isnull() check (zero nulls, zero duplicates), but 172 patients (18.7%) had Cholesterol silently recorded as 0 — a physiologically impossible reading that was actually disguised missing data, caught only by checking df.describe() minimums.</w:t>
      </w:r>
    </w:p>
    <w:p>
      <w:pPr>
        <w:pStyle w:val="ListParagraph"/>
        <w:numPr>
          <w:ilvl w:val="0"/>
          <w:numId w:val="1"/>
        </w:numPr>
        <w:spacing w:after="90" w:line="276"/>
      </w:pPr>
      <w:r>
        <w:t xml:space="preserve">Cholesterol was median-imputed within ChestPainType groups; the one missing RestingBP value was filled with the global median.</w:t>
      </w:r>
    </w:p>
    <w:p>
      <w:pPr>
        <w:pStyle w:val="ListParagraph"/>
        <w:numPr>
          <w:ilvl w:val="0"/>
          <w:numId w:val="1"/>
        </w:numPr>
        <w:spacing w:after="90" w:line="276"/>
      </w:pPr>
      <w:r>
        <w:t xml:space="preserve">RestingBP, Cholesterol and Oldpeak all had high-end outliers capped (winsorized) rather than removed, since these represent real, clinically meaningful severe readings rather than data errors — with only 918 patients to begin with, deleting genuinely unusual cases was judged too costly.</w:t>
      </w:r>
    </w:p>
    <w:p>
      <w:pPr>
        <w:pStyle w:val="ListParagraph"/>
        <w:numPr>
          <w:ilvl w:val="0"/>
          <w:numId w:val="1"/>
        </w:numPr>
        <w:spacing w:after="90" w:line="276"/>
      </w:pPr>
      <w:r>
        <w:t xml:space="preserve">Three cryptic columns were renamed for clarity in the ML-ready file: FastingBS → FastingBloodSugarHigh, Oldpeak → ST_Depression, MaxHR → MaxHeartRate.</w:t>
      </w:r>
    </w:p>
    <w:p>
      <w:pPr>
        <w:pStyle w:val="ListParagraph"/>
        <w:numPr>
          <w:ilvl w:val="0"/>
          <w:numId w:val="1"/>
        </w:numPr>
        <w:spacing w:after="90" w:line="276"/>
      </w:pPr>
      <w:r>
        <w:t xml:space="preserve">Two features were engineered: AgeGroup (binned) and RiskFactorCount (a 0-4 count of major risk indicators).</w:t>
      </w:r>
    </w:p>
    <w:p>
      <w:pPr>
        <w:pStyle w:val="ListParagraph"/>
        <w:numPr>
          <w:ilvl w:val="0"/>
          <w:numId w:val="1"/>
        </w:numPr>
        <w:spacing w:after="90" w:line="276"/>
      </w:pPr>
      <w:r>
        <w:t xml:space="preserve">Correlation analysis and a preliminary Random Forest both pointed to ST_Slope, ExerciseAngina, ST_Depression (Oldpeak) and chest pain type as the strongest signals in the dataset — but none of these relationships had been formally hypothesis-tested.</w:t>
      </w:r>
    </w:p>
    <w:p>
      <w:pPr>
        <w:pStyle w:val="Heading1"/>
        <w:spacing w:after="160" w:before="320"/>
      </w:pPr>
      <w:r>
        <w:rPr>
          <w:color w:val="1F3864"/>
        </w:rPr>
        <w:t xml:space="preserve">6. Major Data-Quality Issues Identified</w:t>
      </w:r>
    </w:p>
    <w:p>
      <w:pPr>
        <w:pStyle w:val="ListParagraph"/>
        <w:numPr>
          <w:ilvl w:val="0"/>
          <w:numId w:val="1"/>
        </w:numPr>
        <w:spacing w:after="90" w:line="276"/>
      </w:pPr>
      <w:r>
        <w:t xml:space="preserve">Disguised missing values in Cholesterol (0 used instead of blank/NaN) — the single biggest data-quality finding of Week 2.</w:t>
      </w:r>
    </w:p>
    <w:p>
      <w:pPr>
        <w:pStyle w:val="ListParagraph"/>
        <w:numPr>
          <w:ilvl w:val="0"/>
          <w:numId w:val="1"/>
        </w:numPr>
        <w:spacing w:after="90" w:line="276"/>
      </w:pPr>
      <w:r>
        <w:t xml:space="preserve">Ordinal-style fields (chest pain type, ST slope) stored as unordered categories, even though Week 2's own EDA already hinted at a graded risk pattern across chest pain types — this is the specific gap Week 3's feature engineering addresses directly.</w:t>
      </w:r>
    </w:p>
    <w:p>
      <w:pPr>
        <w:pStyle w:val="ListParagraph"/>
        <w:numPr>
          <w:ilvl w:val="0"/>
          <w:numId w:val="1"/>
        </w:numPr>
        <w:spacing w:after="90" w:line="276"/>
      </w:pPr>
      <w:r>
        <w:t xml:space="preserve">No missing values, duplicates, or constant/identifier columns remained after Week 2's cleaning — unlike the Week 1 HR dataset, this dataset arrived pre-trimmed to clinically relevant fields.</w:t>
      </w:r>
    </w:p>
    <w:p>
      <w:pPr>
        <w:pStyle w:val="Heading1"/>
        <w:spacing w:after="160" w:before="320"/>
      </w:pPr>
      <w:r>
        <w:rPr>
          <w:color w:val="1F3864"/>
        </w:rPr>
        <w:t xml:space="preserve">7. Remaining Questions Carried Into Week 3</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6800"/>
        <w:gridCol w:w="3060"/>
      </w:tblGrid>
      <w:tr>
        <w:tc>
          <w:tcPr>
            <w:tcW w:type="dxa" w:w="6800"/>
            <w:shd w:fill="1F3864" w:val="clear"/>
            <w:tcMar>
              <w:top w:type="dxa" w:w="80"/>
              <w:left w:type="dxa" w:w="100"/>
              <w:bottom w:type="dxa" w:w="80"/>
              <w:right w:type="dxa" w:w="100"/>
            </w:tcMar>
          </w:tcPr>
          <w:p>
            <w:pPr>
              <w:jc w:val="left"/>
            </w:pPr>
            <w:r>
              <w:rPr>
                <w:b/>
                <w:bCs/>
                <w:color w:val="FFFFFF"/>
              </w:rPr>
              <w:t xml:space="preserve">Question</w:t>
            </w:r>
          </w:p>
        </w:tc>
        <w:tc>
          <w:tcPr>
            <w:tcW w:type="dxa" w:w="3060"/>
            <w:shd w:fill="1F3864" w:val="clear"/>
            <w:tcMar>
              <w:top w:type="dxa" w:w="80"/>
              <w:left w:type="dxa" w:w="100"/>
              <w:bottom w:type="dxa" w:w="80"/>
              <w:right w:type="dxa" w:w="100"/>
            </w:tcMar>
          </w:tcPr>
          <w:p>
            <w:pPr>
              <w:jc w:val="left"/>
            </w:pPr>
            <w:r>
              <w:rPr>
                <w:b/>
                <w:bCs/>
                <w:color w:val="FFFFFF"/>
              </w:rPr>
              <w:t xml:space="preserve">Addressed In</w:t>
            </w:r>
          </w:p>
        </w:tc>
      </w:tr>
      <w:tr>
        <w:tc>
          <w:tcPr>
            <w:tcW w:type="dxa" w:w="6800"/>
            <w:tcMar>
              <w:top w:type="dxa" w:w="80"/>
              <w:left w:type="dxa" w:w="100"/>
              <w:bottom w:type="dxa" w:w="80"/>
              <w:right w:type="dxa" w:w="100"/>
            </w:tcMar>
          </w:tcPr>
          <w:p>
            <w:pPr>
              <w:jc w:val="left"/>
            </w:pPr>
            <w:r>
              <w:rPr>
                <w:b w:val="false"/>
                <w:bCs w:val="false"/>
              </w:rPr>
              <w:t xml:space="preserve">Are the visual differences in MaxHR and Oldpeak between disease groups statistically significant, or could they be chance?</w:t>
            </w:r>
          </w:p>
        </w:tc>
        <w:tc>
          <w:tcPr>
            <w:tcW w:type="dxa" w:w="3060"/>
            <w:tcMar>
              <w:top w:type="dxa" w:w="80"/>
              <w:left w:type="dxa" w:w="100"/>
              <w:bottom w:type="dxa" w:w="80"/>
              <w:right w:type="dxa" w:w="100"/>
            </w:tcMar>
          </w:tcPr>
          <w:p>
            <w:pPr>
              <w:jc w:val="left"/>
            </w:pPr>
            <w:r>
              <w:rPr>
                <w:b w:val="false"/>
                <w:bCs w:val="false"/>
              </w:rPr>
              <w:t xml:space="preserve">Statistical Analysis Summary, Tests 1-2</w:t>
            </w:r>
          </w:p>
        </w:tc>
      </w:tr>
      <w:tr>
        <w:tc>
          <w:tcPr>
            <w:tcW w:type="dxa" w:w="6800"/>
            <w:shd w:fill="F2F2F2" w:val="clear"/>
            <w:tcMar>
              <w:top w:type="dxa" w:w="80"/>
              <w:left w:type="dxa" w:w="100"/>
              <w:bottom w:type="dxa" w:w="80"/>
              <w:right w:type="dxa" w:w="100"/>
            </w:tcMar>
          </w:tcPr>
          <w:p>
            <w:pPr>
              <w:jc w:val="left"/>
            </w:pPr>
            <w:r>
              <w:rPr>
                <w:b w:val="false"/>
                <w:bCs w:val="false"/>
              </w:rPr>
              <w:t xml:space="preserve">Is chest pain type's apparent link to heart disease real, and can its four unordered categories be represented more efficiently for modelling?</w:t>
            </w:r>
          </w:p>
        </w:tc>
        <w:tc>
          <w:tcPr>
            <w:tcW w:type="dxa" w:w="3060"/>
            <w:shd w:fill="F2F2F2" w:val="clear"/>
            <w:tcMar>
              <w:top w:type="dxa" w:w="80"/>
              <w:left w:type="dxa" w:w="100"/>
              <w:bottom w:type="dxa" w:w="80"/>
              <w:right w:type="dxa" w:w="100"/>
            </w:tcMar>
          </w:tcPr>
          <w:p>
            <w:pPr>
              <w:jc w:val="left"/>
            </w:pPr>
            <w:r>
              <w:rPr>
                <w:b w:val="false"/>
                <w:bCs w:val="false"/>
              </w:rPr>
              <w:t xml:space="preserve">Statistical Analysis Summary, Test 3; Feature Engineering Doc, ChestPainRiskRank</w:t>
            </w:r>
          </w:p>
        </w:tc>
      </w:tr>
      <w:tr>
        <w:tc>
          <w:tcPr>
            <w:tcW w:type="dxa" w:w="6800"/>
            <w:tcMar>
              <w:top w:type="dxa" w:w="80"/>
              <w:left w:type="dxa" w:w="100"/>
              <w:bottom w:type="dxa" w:w="80"/>
              <w:right w:type="dxa" w:w="100"/>
            </w:tcMar>
          </w:tcPr>
          <w:p>
            <w:pPr>
              <w:jc w:val="left"/>
            </w:pPr>
            <w:r>
              <w:rPr>
                <w:b w:val="false"/>
                <w:bCs w:val="false"/>
              </w:rPr>
              <w:t xml:space="preserve">Does exercise-induced angina add signal beyond what's already captured by Oldpeak, and vice versa?</w:t>
            </w:r>
          </w:p>
        </w:tc>
        <w:tc>
          <w:tcPr>
            <w:tcW w:type="dxa" w:w="3060"/>
            <w:tcMar>
              <w:top w:type="dxa" w:w="80"/>
              <w:left w:type="dxa" w:w="100"/>
              <w:bottom w:type="dxa" w:w="80"/>
              <w:right w:type="dxa" w:w="100"/>
            </w:tcMar>
          </w:tcPr>
          <w:p>
            <w:pPr>
              <w:jc w:val="left"/>
            </w:pPr>
            <w:r>
              <w:rPr>
                <w:b w:val="false"/>
                <w:bCs w:val="false"/>
              </w:rPr>
              <w:t xml:space="preserve">Statistical Analysis Summary, Test 4; Feature Engineering Doc, ExertionRiskFlag</w:t>
            </w:r>
          </w:p>
        </w:tc>
      </w:tr>
      <w:tr>
        <w:tc>
          <w:tcPr>
            <w:tcW w:type="dxa" w:w="6800"/>
            <w:shd w:fill="F2F2F2" w:val="clear"/>
            <w:tcMar>
              <w:top w:type="dxa" w:w="80"/>
              <w:left w:type="dxa" w:w="100"/>
              <w:bottom w:type="dxa" w:w="80"/>
              <w:right w:type="dxa" w:w="100"/>
            </w:tcMar>
          </w:tcPr>
          <w:p>
            <w:pPr>
              <w:jc w:val="left"/>
            </w:pPr>
            <w:r>
              <w:rPr>
                <w:b w:val="false"/>
                <w:bCs w:val="false"/>
              </w:rPr>
              <w:t xml:space="preserve">Is there a meaningful sex-based gap in this population's heart disease rate?</w:t>
            </w:r>
          </w:p>
        </w:tc>
        <w:tc>
          <w:tcPr>
            <w:tcW w:type="dxa" w:w="3060"/>
            <w:shd w:fill="F2F2F2" w:val="clear"/>
            <w:tcMar>
              <w:top w:type="dxa" w:w="80"/>
              <w:left w:type="dxa" w:w="100"/>
              <w:bottom w:type="dxa" w:w="80"/>
              <w:right w:type="dxa" w:w="100"/>
            </w:tcMar>
          </w:tcPr>
          <w:p>
            <w:pPr>
              <w:jc w:val="left"/>
            </w:pPr>
            <w:r>
              <w:rPr>
                <w:b w:val="false"/>
                <w:bCs w:val="false"/>
              </w:rPr>
              <w:t xml:space="preserve">Statistical Analysis Summary, Test 6</w:t>
            </w:r>
          </w:p>
        </w:tc>
      </w:tr>
      <w:tr>
        <w:tc>
          <w:tcPr>
            <w:tcW w:type="dxa" w:w="6800"/>
            <w:tcMar>
              <w:top w:type="dxa" w:w="80"/>
              <w:left w:type="dxa" w:w="100"/>
              <w:bottom w:type="dxa" w:w="80"/>
              <w:right w:type="dxa" w:w="100"/>
            </w:tcMar>
          </w:tcPr>
          <w:p>
            <w:pPr>
              <w:jc w:val="left"/>
            </w:pPr>
            <w:r>
              <w:rPr>
                <w:b w:val="false"/>
                <w:bCs w:val="false"/>
              </w:rPr>
              <w:t xml:space="preserve">Which of Week 2's and Week 3's features actually deserve a place in the model Week 4 will train?</w:t>
            </w:r>
          </w:p>
        </w:tc>
        <w:tc>
          <w:tcPr>
            <w:tcW w:type="dxa" w:w="3060"/>
            <w:tcMar>
              <w:top w:type="dxa" w:w="80"/>
              <w:left w:type="dxa" w:w="100"/>
              <w:bottom w:type="dxa" w:w="80"/>
              <w:right w:type="dxa" w:w="100"/>
            </w:tcMar>
          </w:tcPr>
          <w:p>
            <w:pPr>
              <w:jc w:val="left"/>
            </w:pPr>
            <w:r>
              <w:rPr>
                <w:b w:val="false"/>
                <w:bCs w:val="false"/>
              </w:rPr>
              <w:t xml:space="preserve">Feature Evaluation and Selection Summary</w:t>
            </w:r>
          </w:p>
        </w:tc>
      </w:tr>
    </w:tbl>
    <w:p>
      <w:pPr>
        <w:spacing w:after="200"/>
      </w:pPr>
    </w:p>
    <w:p>
      <w:pPr>
        <w:spacing w:after="160" w:line="276"/>
      </w:pPr>
      <w:r>
        <w:t xml:space="preserve">The remainder of this week's deliverables — the notebook, the Statistical Analysis Summary, the Feature Engineering Documentation, the Feature Evaluation and Selection Summary, and the Business Insights and Recommendations Report — work through each of these questions in turn, building directly on the foundation this document has just recapped.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2026-08-21T09:37:54.695Z</dcterms:created>
  <dcterms:modified xsi:type="dcterms:W3CDTF">2026-08-21T09:37:54.705Z</dcterms:modified>
</cp:coreProperties>
</file>

<file path=docProps/custom.xml><?xml version="1.0" encoding="utf-8"?>
<Properties xmlns="http://schemas.openxmlformats.org/officeDocument/2006/custom-properties" xmlns:vt="http://schemas.openxmlformats.org/officeDocument/2006/docPropsVTypes"/>
</file>