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AI Call Notes: Digital-First Change Programme Discovery</w:t>
      </w:r>
    </w:p>
    <w:p>
      <w:r>
        <w:rPr>
          <w:i/>
          <w:color w:val="5B677A"/>
          <w:sz w:val="22"/>
        </w:rPr>
        <w:t>Obsidian Group | Strategy, communications, and measurement workstream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top"/>
          </w:tcPr>
          <w:p>
            <w:r/>
            <w:r>
              <w:rPr>
                <w:b/>
                <w:color w:val="243447"/>
                <w:sz w:val="18"/>
              </w:rPr>
              <w:t>Meeting date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17 April 2026</w:t>
            </w:r>
          </w:p>
        </w:tc>
      </w:tr>
      <w:tr>
        <w:tc>
          <w:tcPr>
            <w:tcW w:type="dxa" w:w="5040"/>
            <w:shd w:fill="EAF2F8"/>
            <w:vAlign w:val="top"/>
          </w:tcPr>
          <w:p>
            <w:r/>
            <w:r>
              <w:rPr>
                <w:b/>
                <w:color w:val="243447"/>
                <w:sz w:val="18"/>
              </w:rPr>
              <w:t>Meeting length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58 minutes</w:t>
            </w:r>
          </w:p>
        </w:tc>
      </w:tr>
      <w:tr>
        <w:tc>
          <w:tcPr>
            <w:tcW w:type="dxa" w:w="5040"/>
            <w:shd w:fill="EAF2F8"/>
            <w:vAlign w:val="top"/>
          </w:tcPr>
          <w:p>
            <w:r/>
            <w:r>
              <w:rPr>
                <w:b/>
                <w:color w:val="243447"/>
                <w:sz w:val="18"/>
              </w:rPr>
              <w:t>Source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Auto-generated notes from video call recording</w:t>
            </w:r>
          </w:p>
        </w:tc>
      </w:tr>
      <w:tr>
        <w:tc>
          <w:tcPr>
            <w:tcW w:type="dxa" w:w="5040"/>
            <w:shd w:fill="EAF2F8"/>
            <w:vAlign w:val="top"/>
          </w:tcPr>
          <w:p>
            <w:r/>
            <w:r>
              <w:rPr>
                <w:b/>
                <w:color w:val="243447"/>
                <w:sz w:val="18"/>
              </w:rPr>
              <w:t>Purpose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Clarify priorities, risks, stakeholder concerns, and measurement needs for the digital-first retail operating model.</w:t>
            </w:r>
          </w:p>
        </w:tc>
      </w:tr>
      <w:tr>
        <w:tc>
          <w:tcPr>
            <w:tcW w:type="dxa" w:w="5040"/>
            <w:shd w:fill="EAF2F8"/>
            <w:vAlign w:val="top"/>
          </w:tcPr>
          <w:p>
            <w:r/>
            <w:r>
              <w:rPr>
                <w:b/>
                <w:color w:val="243447"/>
                <w:sz w:val="18"/>
              </w:rPr>
              <w:t>Attendees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Amelia Hart, CEO; Marcus Reed, COO; Sana Patel, HR Director; Liam O’Connor, Transformation Lead; Priya Shah, Regional Operations; Elena Brooks, Change Communications; Theo Martin, ChangeTools observer.</w:t>
            </w:r>
          </w:p>
        </w:tc>
      </w:tr>
      <w:tr>
        <w:tc>
          <w:tcPr>
            <w:tcW w:type="dxa" w:w="5040"/>
            <w:shd w:fill="EAF2F8"/>
            <w:vAlign w:val="top"/>
          </w:tcPr>
          <w:p>
            <w:r/>
            <w:r>
              <w:rPr>
                <w:b/>
                <w:color w:val="243447"/>
                <w:sz w:val="18"/>
              </w:rPr>
              <w:t>AI confidence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Medium-high. Speaker attribution may be imperfect. Several comments about rollout timing and job impact require confirmation.</w:t>
            </w:r>
          </w:p>
        </w:tc>
      </w:tr>
    </w:tbl>
    <w:p>
      <w:pPr>
        <w:pStyle w:val="Heading1"/>
      </w:pPr>
      <w:r>
        <w:t>1. Executive summary</w:t>
      </w:r>
    </w:p>
    <w:p>
      <w:r>
        <w:rPr>
          <w:b/>
        </w:rPr>
        <w:t xml:space="preserve">Obsidian Group is moving from a regionally inconsistent store-led model to a hybrid digital-first operating model. </w:t>
      </w:r>
      <w:r>
        <w:t>Leadership wants the programme to be positioned around customer experience, better visibility, and reduced manual work rather than cost-cutting. The most important risks discussed were regional manager resistance, unclear timelines for store managers, job security concerns in customer service, and inconsistent communication between regions.</w:t>
      </w:r>
    </w:p>
    <w:p>
      <w:pPr>
        <w:pStyle w:val="Heading1"/>
      </w:pPr>
      <w:r>
        <w:t>2. Key themes captured by the AI note taker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2D4D"/>
            <w:vAlign w:val="top"/>
          </w:tcPr>
          <w:p>
            <w:r/>
            <w:r>
              <w:rPr>
                <w:b/>
                <w:color w:val="FFFFFF"/>
                <w:sz w:val="18"/>
              </w:rPr>
              <w:t>Theme</w:t>
            </w:r>
          </w:p>
        </w:tc>
        <w:tc>
          <w:tcPr>
            <w:tcW w:type="dxa" w:w="5040"/>
            <w:shd w:fill="0B2D4D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color w:val="243447"/>
                <w:sz w:val="18"/>
              </w:rPr>
              <w:t>Customer experience narrative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CEO emphasized that all messaging should frame the programme as a service-quality and customer journey improvement, not as a headcount reduction initiative.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color w:val="243447"/>
                <w:sz w:val="18"/>
              </w:rPr>
              <w:t>Operational visibility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COO wants weekly adoption reporting by region, with a clear view of blockers, training completion, and support handling time.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color w:val="243447"/>
                <w:sz w:val="18"/>
              </w:rPr>
              <w:t>Manager enablement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Regional and store managers need a practical rollout pack, FAQs, talking points, and a clear escalation path.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color w:val="243447"/>
                <w:sz w:val="18"/>
              </w:rPr>
              <w:t>Data quality challenge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Weekly reporting is currently manual and inconsistent; teams use different templates and definitions.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color w:val="243447"/>
                <w:sz w:val="18"/>
              </w:rPr>
              <w:t>Adoption risk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Early pilot data suggests lower adoption where middle managers are not actively reinforcing the workflow.</w:t>
            </w:r>
          </w:p>
        </w:tc>
      </w:tr>
    </w:tbl>
    <w:p>
      <w:pPr>
        <w:pStyle w:val="Heading1"/>
      </w:pPr>
      <w:r>
        <w:t>3. Speaker notes and transcript-style excerpts</w:t>
      </w:r>
    </w:p>
    <w:p>
      <w:r>
        <w:rPr>
          <w:b/>
        </w:rPr>
        <w:t xml:space="preserve">Amelia Hart, CEO: </w:t>
      </w:r>
      <w:r>
        <w:t>“We need this to feel like a customer experience programme. If people hear automation and assume cuts, we will lose trust before we start.”</w:t>
      </w:r>
    </w:p>
    <w:p>
      <w:r>
        <w:rPr>
          <w:b/>
        </w:rPr>
        <w:t xml:space="preserve">Marcus Reed, COO: </w:t>
      </w:r>
      <w:r>
        <w:t>“I do not want another reporting layer that arrives late and is impossible to compare. I need a weekly view by region and a simple way to spot blockers.”</w:t>
      </w:r>
    </w:p>
    <w:p>
      <w:r>
        <w:rPr>
          <w:b/>
        </w:rPr>
        <w:t xml:space="preserve">Sana Patel, HR Director: </w:t>
      </w:r>
      <w:r>
        <w:t>“Customer service teams are nervous. Any communication must be sensitive around role changes and must explain what support and retraining will be available.”</w:t>
      </w:r>
    </w:p>
    <w:p>
      <w:r>
        <w:rPr>
          <w:b/>
        </w:rPr>
        <w:t xml:space="preserve">Priya Shah, Regional Operations: </w:t>
      </w:r>
      <w:r>
        <w:t>“Managers keep asking when the new workflow becomes mandatory. Some regions are already moving. Others are waiting because they think the plan might change.”</w:t>
      </w:r>
    </w:p>
    <w:p>
      <w:r>
        <w:rPr>
          <w:b/>
        </w:rPr>
        <w:t xml:space="preserve">Elena Brooks, Change Communications: </w:t>
      </w:r>
      <w:r>
        <w:t>“We need one version of the story. Right now every region is creating its own deck and the message is drifting.”</w:t>
      </w:r>
    </w:p>
    <w:p>
      <w:r>
        <w:rPr>
          <w:b/>
        </w:rPr>
        <w:t xml:space="preserve">Liam O’Connor, Transformation Lead: </w:t>
      </w:r>
      <w:r>
        <w:t>“Pilot adoption is promising where managers are engaged, but training completion is behind in the North and West regions.”</w:t>
      </w:r>
    </w:p>
    <w:p>
      <w:pPr>
        <w:pStyle w:val="Heading1"/>
      </w:pPr>
      <w:r>
        <w:t>4. Decisions and working assumptions</w:t>
      </w:r>
    </w:p>
    <w:p>
      <w:pPr>
        <w:pStyle w:val="ListBullet"/>
      </w:pPr>
      <w:r>
        <w:rPr>
          <w:sz w:val="20"/>
        </w:rPr>
        <w:t>Programme narrative will focus on customer experience, consistency, and reducing repetitive manual work.</w:t>
      </w:r>
    </w:p>
    <w:p>
      <w:pPr>
        <w:pStyle w:val="ListBullet"/>
      </w:pPr>
      <w:r>
        <w:rPr>
          <w:sz w:val="20"/>
        </w:rPr>
        <w:t>A weekly change dashboard will be created for executives and regional leaders.</w:t>
      </w:r>
    </w:p>
    <w:p>
      <w:pPr>
        <w:pStyle w:val="ListBullet"/>
      </w:pPr>
      <w:r>
        <w:rPr>
          <w:sz w:val="20"/>
        </w:rPr>
        <w:t>Store managers will receive a manager enablement pack before the next regional rollout wave.</w:t>
      </w:r>
    </w:p>
    <w:p>
      <w:pPr>
        <w:pStyle w:val="ListBullet"/>
      </w:pPr>
      <w:r>
        <w:rPr>
          <w:sz w:val="20"/>
        </w:rPr>
        <w:t>Customer service communications will include a clear statement on role impact, retraining, and support.</w:t>
      </w:r>
    </w:p>
    <w:p>
      <w:pPr>
        <w:pStyle w:val="ListBullet"/>
      </w:pPr>
      <w:r>
        <w:rPr>
          <w:sz w:val="20"/>
        </w:rPr>
        <w:t>Regional rollout will remain phased, but leadership wants a single source of truth for timeline and adoption status.</w:t>
      </w:r>
    </w:p>
    <w:p>
      <w:pPr>
        <w:pStyle w:val="Heading1"/>
      </w:pPr>
      <w:r>
        <w:t>5. Risks and concerns raised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2D4D"/>
            <w:vAlign w:val="top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20"/>
            <w:shd w:fill="0B2D4D"/>
            <w:vAlign w:val="top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520"/>
            <w:shd w:fill="0B2D4D"/>
            <w:vAlign w:val="top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fill="0B2D4D"/>
            <w:vAlign w:val="top"/>
          </w:tcPr>
          <w:p>
            <w:r/>
            <w:r>
              <w:rPr>
                <w:b/>
                <w:color w:val="FFFFFF"/>
                <w:sz w:val="18"/>
              </w:rPr>
              <w:t>AI-captured rationale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R-01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/>
                <w:color w:val="243447"/>
                <w:sz w:val="18"/>
              </w:rPr>
              <w:t>Middle management resistance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High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Managers in lower-adoption regions may delay or dilute the rollout if they are not confident in the programme.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R-02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/>
                <w:color w:val="243447"/>
                <w:sz w:val="18"/>
              </w:rPr>
              <w:t>Job security concerns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High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Customer service teams may interpret automation as a headcount reduction programme.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R-03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/>
                <w:color w:val="243447"/>
                <w:sz w:val="18"/>
              </w:rPr>
              <w:t>Inconsistent regional messaging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Medium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Different decks and informal explanations are creating confusion and message drift.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R-04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/>
                <w:color w:val="243447"/>
                <w:sz w:val="18"/>
              </w:rPr>
              <w:t>Weak reporting consistency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Medium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Adoption reporting uses different definitions across regions, reducing leadership trust in the data.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R-05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/>
                <w:color w:val="243447"/>
                <w:sz w:val="18"/>
              </w:rPr>
              <w:t>Timeline uncertainty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Medium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Store managers do not know which milestones are fixed and which are still subject to change.</w:t>
            </w:r>
          </w:p>
        </w:tc>
      </w:tr>
    </w:tbl>
    <w:p>
      <w:pPr>
        <w:pStyle w:val="Heading1"/>
      </w:pPr>
      <w:r>
        <w:t>6. Metrics discussed</w:t>
      </w:r>
    </w:p>
    <w:p>
      <w:pPr>
        <w:pStyle w:val="ListBullet"/>
      </w:pPr>
      <w:r>
        <w:rPr>
          <w:sz w:val="20"/>
        </w:rPr>
        <w:t>Digital workflow adoption target: 80% within 6 months.</w:t>
      </w:r>
    </w:p>
    <w:p>
      <w:pPr>
        <w:pStyle w:val="ListBullet"/>
      </w:pPr>
      <w:r>
        <w:rPr>
          <w:sz w:val="20"/>
        </w:rPr>
        <w:t>Customer support handling time reduction target: 20%.</w:t>
      </w:r>
    </w:p>
    <w:p>
      <w:pPr>
        <w:pStyle w:val="ListBullet"/>
      </w:pPr>
      <w:r>
        <w:rPr>
          <w:sz w:val="20"/>
        </w:rPr>
        <w:t>Employee sentiment target: above 70% positive/neutral sentiment.</w:t>
      </w:r>
    </w:p>
    <w:p>
      <w:pPr>
        <w:pStyle w:val="ListBullet"/>
      </w:pPr>
      <w:r>
        <w:rPr>
          <w:sz w:val="20"/>
        </w:rPr>
        <w:t>Manual reporting effort reduction target: 30%.</w:t>
      </w:r>
    </w:p>
    <w:p>
      <w:pPr>
        <w:pStyle w:val="ListBullet"/>
      </w:pPr>
      <w:r>
        <w:rPr>
          <w:sz w:val="20"/>
        </w:rPr>
        <w:t>Weekly reporting completion target: 100% of regional teams by the end of the quarter.</w:t>
      </w:r>
    </w:p>
    <w:p>
      <w:pPr>
        <w:pStyle w:val="ListBullet"/>
      </w:pPr>
      <w:r>
        <w:rPr>
          <w:sz w:val="20"/>
        </w:rPr>
        <w:t>Training completion target was discussed as “above 90% before mandatory rollout”, but final target needs confirmation.</w:t>
      </w:r>
    </w:p>
    <w:p>
      <w:pPr>
        <w:pStyle w:val="Heading1"/>
      </w:pPr>
      <w:r>
        <w:t>7.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AA6A6"/>
            <w:vAlign w:val="top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fill="1AA6A6"/>
            <w:vAlign w:val="top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16"/>
            <w:shd w:fill="1AA6A6"/>
            <w:vAlign w:val="top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016"/>
            <w:shd w:fill="1AA6A6"/>
            <w:vAlign w:val="top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2016"/>
            <w:shd w:fill="1AA6A6"/>
            <w:vAlign w:val="top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A-01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Elena Brooks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/>
                <w:color w:val="243447"/>
                <w:sz w:val="18"/>
              </w:rPr>
              <w:t>Create a single programme narrative and communication pack.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24 April 2026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Open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A-02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Liam O’Connor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/>
                <w:color w:val="243447"/>
                <w:sz w:val="18"/>
              </w:rPr>
              <w:t>Define weekly adoption dashboard fields and required data owners.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22 April 2026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Open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A-03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Sana Patel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/>
                <w:color w:val="243447"/>
                <w:sz w:val="18"/>
              </w:rPr>
              <w:t>Draft employee-facing FAQs covering role impact and retraining support.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25 April 2026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Open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A-04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Priya Shah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/>
                <w:color w:val="243447"/>
                <w:sz w:val="18"/>
              </w:rPr>
              <w:t>Validate regional rollout dates with each regional director.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29 April 2026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Open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A-05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Marcus Reed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/>
                <w:color w:val="243447"/>
                <w:sz w:val="18"/>
              </w:rPr>
              <w:t>Confirm executive dashboard cadence and escalation thresholds.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30 April 2026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color w:val="243447"/>
                <w:sz w:val="18"/>
              </w:rPr>
              <w:t>Open</w:t>
            </w:r>
          </w:p>
        </w:tc>
      </w:tr>
    </w:tbl>
    <w:p>
      <w:pPr>
        <w:pStyle w:val="Heading1"/>
      </w:pPr>
      <w:r>
        <w:t>8. Open questions and AI uncertainty flags</w:t>
      </w:r>
    </w:p>
    <w:p>
      <w:pPr>
        <w:pStyle w:val="ListBullet"/>
      </w:pPr>
      <w:r>
        <w:rPr>
          <w:sz w:val="20"/>
        </w:rPr>
        <w:t>Exact launch date for the mandatory workflow appears unresolved. Notes mention June and July in different contexts.</w:t>
      </w:r>
    </w:p>
    <w:p>
      <w:pPr>
        <w:pStyle w:val="ListBullet"/>
      </w:pPr>
      <w:r>
        <w:rPr>
          <w:sz w:val="20"/>
        </w:rPr>
        <w:t>AI notes captured “training completion above 90%” but this may be an aspiration rather than an approved KPI.</w:t>
      </w:r>
    </w:p>
    <w:p>
      <w:pPr>
        <w:pStyle w:val="ListBullet"/>
      </w:pPr>
      <w:r>
        <w:rPr>
          <w:sz w:val="20"/>
        </w:rPr>
        <w:t>It is unclear whether customer support headcount changes are out of scope or simply not yet communicated.</w:t>
      </w:r>
    </w:p>
    <w:p>
      <w:pPr>
        <w:pStyle w:val="ListBullet"/>
      </w:pPr>
      <w:r>
        <w:rPr>
          <w:sz w:val="20"/>
        </w:rPr>
        <w:t>Regional ownership for the dashboard is not fully defined.</w:t>
      </w:r>
    </w:p>
    <w:p>
      <w:pPr>
        <w:pStyle w:val="ListBullet"/>
      </w:pPr>
      <w:r>
        <w:rPr>
          <w:sz w:val="20"/>
        </w:rPr>
        <w:t>Data definitions for adoption, active usage, and reporting completion need to be standardised.</w:t>
      </w:r>
    </w:p>
    <w:p>
      <w:pPr>
        <w:pStyle w:val="Heading1"/>
      </w:pPr>
      <w:r>
        <w:t>9. Candidate test note</w:t>
      </w:r>
    </w:p>
    <w:p>
      <w:r>
        <w:rPr>
          <w:b/>
        </w:rPr>
        <w:t xml:space="preserve">This is fictional mock data for a technical assessment. </w:t>
      </w:r>
      <w:r>
        <w:t>The content intentionally includes structured facts, ambiguous statements, risks, action items, and inconsistent notes so that an AI infrastructure prototype can demonstrate ingestion, processing, storage, traceability, and error handling.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Prepared by meeting assistant. Review before use. Fictional candidate test data.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Obsidian Group | AI-generated meeting notes | Confidential mock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AA6A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B2D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