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554E0B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554E0B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6.25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051A32">
                    <w:rPr>
                      <w:b/>
                    </w:rPr>
                    <w:t>24</w:t>
                  </w:r>
                  <w:r>
                    <w:rPr>
                      <w:b/>
                    </w:rPr>
                    <w:t>.</w:t>
                  </w:r>
                  <w:r w:rsidR="00051A32">
                    <w:rPr>
                      <w:b/>
                    </w:rPr>
                    <w:t>4.20</w:t>
                  </w:r>
                </w:p>
              </w:txbxContent>
            </v:textbox>
          </v:shape>
        </w:pict>
      </w:r>
    </w:p>
    <w:p w:rsidR="00A064E5" w:rsidRDefault="00554E0B" w:rsidP="004E151A"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0417DB" w:rsidRPr="008F0343" w:rsidRDefault="007471E7" w:rsidP="007471E7">
                  <w:pPr>
                    <w:ind w:left="-18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18"/>
                    </w:rPr>
                    <w:t>REDOX REACTIONS</w:t>
                  </w:r>
                  <w:r w:rsidR="009B1F10">
                    <w:rPr>
                      <w:b/>
                      <w:sz w:val="18"/>
                    </w:rPr>
                    <w:t xml:space="preserve"> -ANSWER KEY</w:t>
                  </w:r>
                  <w:r w:rsidR="008F0343">
                    <w:rPr>
                      <w:b/>
                      <w:sz w:val="18"/>
                    </w:rPr>
                    <w:t>-</w:t>
                  </w:r>
                  <w:r w:rsidR="007A29EA" w:rsidRPr="008F0343">
                    <w:rPr>
                      <w:b/>
                      <w:sz w:val="18"/>
                    </w:rPr>
                    <w:t>HINTS AND SOLUTIONS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731EE2" w:rsidRDefault="00731EE2" w:rsidP="00613C6E">
      <w:pPr>
        <w:tabs>
          <w:tab w:val="left" w:pos="3267"/>
          <w:tab w:val="left" w:pos="7114"/>
        </w:tabs>
        <w:spacing w:line="240" w:lineRule="auto"/>
        <w:contextualSpacing/>
        <w:rPr>
          <w:rFonts w:asciiTheme="majorHAnsi" w:hAnsiTheme="majorHAnsi"/>
        </w:rPr>
      </w:pPr>
    </w:p>
    <w:tbl>
      <w:tblPr>
        <w:tblW w:w="5000" w:type="pct"/>
        <w:tblLayout w:type="fixed"/>
        <w:tblLook w:val="04A0"/>
      </w:tblPr>
      <w:tblGrid>
        <w:gridCol w:w="10710"/>
      </w:tblGrid>
      <w:tr w:rsidR="00731EE2" w:rsidRPr="00453EAC" w:rsidTr="00F729E9">
        <w:tc>
          <w:tcPr>
            <w:tcW w:w="5000" w:type="pct"/>
            <w:tcMar>
              <w:left w:w="0" w:type="dxa"/>
              <w:right w:w="0" w:type="dxa"/>
            </w:tcMar>
          </w:tcPr>
          <w:tbl>
            <w:tblPr>
              <w:tblStyle w:val="LightGrid-Accent6"/>
              <w:tblpPr w:leftFromText="180" w:rightFromText="180" w:horzAnchor="page" w:tblpX="3204" w:tblpY="322"/>
              <w:tblOverlap w:val="never"/>
              <w:tblW w:w="51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45"/>
              <w:gridCol w:w="645"/>
              <w:gridCol w:w="645"/>
              <w:gridCol w:w="645"/>
              <w:gridCol w:w="645"/>
              <w:gridCol w:w="645"/>
              <w:gridCol w:w="646"/>
              <w:gridCol w:w="646"/>
            </w:tblGrid>
            <w:tr w:rsidR="00731EE2" w:rsidRPr="00DA3ED5" w:rsidTr="00F729E9">
              <w:trPr>
                <w:cnfStyle w:val="100000000000"/>
              </w:trPr>
              <w:tc>
                <w:tcPr>
                  <w:cnfStyle w:val="001000000000"/>
                  <w:tcW w:w="5162" w:type="dxa"/>
                  <w:gridSpan w:val="8"/>
                </w:tcPr>
                <w:p w:rsidR="00731EE2" w:rsidRPr="00DA3ED5" w:rsidRDefault="00731EE2" w:rsidP="00F729E9">
                  <w:pPr>
                    <w:contextualSpacing/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:</w:t>
                  </w:r>
                  <w:r w:rsidRPr="008F0343">
                    <w:rPr>
                      <w:sz w:val="18"/>
                    </w:rPr>
                    <w:t>CLASSIFICATION OF ELEMENTS AND  PERIODICITY  IN PROPERTIES</w:t>
                  </w:r>
                  <w:r>
                    <w:rPr>
                      <w:sz w:val="18"/>
                    </w:rPr>
                    <w:t xml:space="preserve">  ANSWER KEY</w:t>
                  </w:r>
                </w:p>
              </w:tc>
            </w:tr>
            <w:tr w:rsidR="00731EE2" w:rsidRPr="00DA3ED5" w:rsidTr="00F729E9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1)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3)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4)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731EE2" w:rsidRPr="00DA3ED5" w:rsidTr="00F729E9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731EE2" w:rsidRPr="00237DBE" w:rsidRDefault="00731EE2" w:rsidP="002D7EDC">
                  <w:pPr>
                    <w:contextualSpacing/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5)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6)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7)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6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8)</w:t>
                  </w:r>
                </w:p>
              </w:tc>
              <w:tc>
                <w:tcPr>
                  <w:tcW w:w="646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</w:tr>
            <w:tr w:rsidR="00731EE2" w:rsidRPr="00DA3ED5" w:rsidTr="00F729E9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9)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10)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11)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12)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731EE2" w:rsidRPr="00DA3ED5" w:rsidTr="00F729E9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731EE2" w:rsidRPr="00237DBE" w:rsidRDefault="00731EE2" w:rsidP="002D7EDC">
                  <w:pPr>
                    <w:contextualSpacing/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13)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14)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15)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6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16)</w:t>
                  </w:r>
                </w:p>
              </w:tc>
              <w:tc>
                <w:tcPr>
                  <w:tcW w:w="646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</w:tr>
            <w:tr w:rsidR="00731EE2" w:rsidRPr="00DA3ED5" w:rsidTr="00F729E9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17)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18)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19)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20)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</w:tr>
            <w:tr w:rsidR="00731EE2" w:rsidRPr="00DA3ED5" w:rsidTr="00F729E9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731EE2" w:rsidRPr="00237DBE" w:rsidRDefault="00731EE2" w:rsidP="002D7EDC">
                  <w:pPr>
                    <w:contextualSpacing/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21)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22)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23)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6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24)</w:t>
                  </w:r>
                </w:p>
              </w:tc>
              <w:tc>
                <w:tcPr>
                  <w:tcW w:w="646" w:type="dxa"/>
                </w:tcPr>
                <w:p w:rsidR="00731EE2" w:rsidRPr="00237DBE" w:rsidRDefault="00731EE2" w:rsidP="002D7EDC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</w:tr>
            <w:tr w:rsidR="00731EE2" w:rsidRPr="00DA3ED5" w:rsidTr="00F729E9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25)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26)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27)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28)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1EE2" w:rsidRPr="00237DBE" w:rsidRDefault="00731EE2" w:rsidP="002D7EDC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</w:tr>
            <w:tr w:rsidR="00731EE2" w:rsidRPr="00DA3ED5" w:rsidTr="00F729E9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731EE2" w:rsidRPr="00237DBE" w:rsidRDefault="00731EE2" w:rsidP="002D7EDC">
                  <w:pPr>
                    <w:rPr>
                      <w:b w:val="0"/>
                      <w:bCs w:val="0"/>
                    </w:rPr>
                  </w:pPr>
                  <w:r w:rsidRPr="00237DBE">
                    <w:rPr>
                      <w:b w:val="0"/>
                      <w:bCs w:val="0"/>
                    </w:rPr>
                    <w:t>29)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30)</w:t>
                  </w:r>
                </w:p>
              </w:tc>
              <w:tc>
                <w:tcPr>
                  <w:tcW w:w="645" w:type="dxa"/>
                </w:tcPr>
                <w:p w:rsidR="00731EE2" w:rsidRPr="00237DBE" w:rsidRDefault="00731EE2" w:rsidP="002D7EDC">
                  <w:pPr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237DBE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5" w:type="dxa"/>
                </w:tcPr>
                <w:p w:rsidR="00731EE2" w:rsidRDefault="00731EE2" w:rsidP="002D7EDC">
                  <w:pPr>
                    <w:cnfStyle w:val="000000010000"/>
                  </w:pPr>
                </w:p>
              </w:tc>
              <w:tc>
                <w:tcPr>
                  <w:tcW w:w="645" w:type="dxa"/>
                </w:tcPr>
                <w:p w:rsidR="00731EE2" w:rsidRDefault="00731EE2" w:rsidP="002D7EDC">
                  <w:pPr>
                    <w:cnfStyle w:val="000000010000"/>
                  </w:pPr>
                </w:p>
              </w:tc>
              <w:tc>
                <w:tcPr>
                  <w:tcW w:w="646" w:type="dxa"/>
                </w:tcPr>
                <w:p w:rsidR="00731EE2" w:rsidRDefault="00731EE2" w:rsidP="002D7EDC">
                  <w:pPr>
                    <w:cnfStyle w:val="000000010000"/>
                  </w:pPr>
                </w:p>
              </w:tc>
              <w:tc>
                <w:tcPr>
                  <w:tcW w:w="646" w:type="dxa"/>
                </w:tcPr>
                <w:p w:rsidR="00731EE2" w:rsidRDefault="00731EE2" w:rsidP="002D7EDC">
                  <w:pPr>
                    <w:cnfStyle w:val="000000010000"/>
                  </w:pPr>
                </w:p>
              </w:tc>
            </w:tr>
          </w:tbl>
          <w:p w:rsidR="00731EE2" w:rsidRPr="00DA3ED5" w:rsidRDefault="00731EE2" w:rsidP="00613C6E">
            <w:pPr>
              <w:tabs>
                <w:tab w:val="left" w:pos="3783"/>
                <w:tab w:val="left" w:pos="7877"/>
              </w:tabs>
              <w:rPr>
                <w:rFonts w:asciiTheme="majorHAnsi" w:hAnsiTheme="majorHAnsi"/>
                <w:sz w:val="2"/>
              </w:rPr>
            </w:pPr>
          </w:p>
        </w:tc>
      </w:tr>
    </w:tbl>
    <w:p w:rsidR="00731EE2" w:rsidRPr="005F787C" w:rsidRDefault="00731EE2" w:rsidP="00731EE2">
      <w:pPr>
        <w:spacing w:line="240" w:lineRule="auto"/>
        <w:contextualSpacing/>
        <w:jc w:val="center"/>
        <w:rPr>
          <w:rFonts w:asciiTheme="majorHAnsi" w:hAnsiTheme="majorHAnsi"/>
        </w:rPr>
      </w:pPr>
    </w:p>
    <w:tbl>
      <w:tblPr>
        <w:tblW w:w="5000" w:type="pct"/>
        <w:tblLayout w:type="fixed"/>
        <w:tblLook w:val="04A0"/>
      </w:tblPr>
      <w:tblGrid>
        <w:gridCol w:w="270"/>
        <w:gridCol w:w="10198"/>
        <w:gridCol w:w="242"/>
      </w:tblGrid>
      <w:tr w:rsidR="00731EE2" w:rsidRPr="00453EAC" w:rsidTr="00731EE2">
        <w:trPr>
          <w:gridAfter w:val="1"/>
          <w:wAfter w:w="113" w:type="pct"/>
        </w:trPr>
        <w:tc>
          <w:tcPr>
            <w:tcW w:w="4887" w:type="pct"/>
            <w:gridSpan w:val="2"/>
            <w:shd w:val="clear" w:color="auto" w:fill="000000" w:themeFill="text1"/>
            <w:tcMar>
              <w:left w:w="0" w:type="dxa"/>
              <w:right w:w="0" w:type="dxa"/>
            </w:tcMar>
          </w:tcPr>
          <w:p w:rsidR="00731EE2" w:rsidRPr="0076457D" w:rsidRDefault="00731EE2" w:rsidP="00F729E9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t>: HINTS AND SOLUTIONS :</w:t>
            </w:r>
          </w:p>
        </w:tc>
      </w:tr>
      <w:tr w:rsidR="00731EE2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731EE2" w:rsidRPr="009B1F10" w:rsidRDefault="00731EE2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731EE2" w:rsidRPr="003C05CE" w:rsidRDefault="00731EE2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31EE2" w:rsidRPr="00B950CB" w:rsidRDefault="00731EE2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MN can exhibit + 7 oxidation no.</w:t>
            </w:r>
          </w:p>
        </w:tc>
      </w:tr>
      <w:tr w:rsidR="00731EE2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731EE2" w:rsidRPr="009B1F10" w:rsidRDefault="00731EE2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731EE2" w:rsidRPr="003C05CE" w:rsidRDefault="00731EE2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31EE2" w:rsidRPr="00942FD6" w:rsidRDefault="00731EE2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Indicators are the substances which indicates the completion of a reaction.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3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554E0B" w:rsidP="006D1D37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>
              <w:rPr>
                <w:rFonts w:asciiTheme="majorHAnsi" w:eastAsiaTheme="minorEastAsia" w:hAnsiTheme="majorHAnsi"/>
                <w:b/>
                <w:bCs/>
                <w:noProof/>
              </w:rPr>
              <w:pict>
                <v:shape id="_x0000_s1042" type="#_x0000_t32" style="position:absolute;margin-left:108.95pt;margin-top:5.6pt;width:.7pt;height:46.9pt;flip:x;z-index:251670528;mso-position-horizontal-relative:text;mso-position-vertical-relative:text" o:connectortype="straight"/>
              </w:pict>
            </w:r>
            <w:r w:rsidR="002A216B"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A216B" w:rsidRPr="00B950CB" w:rsidRDefault="002A216B" w:rsidP="006D1D37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OH ⟶HCOOH</m:t>
              </m:r>
            </m:oMath>
            <w:r>
              <w:rPr>
                <w:rFonts w:ascii="Cambria Math" w:eastAsiaTheme="minorEastAsia" w:hAnsi="Cambria Math"/>
              </w:rPr>
              <w:t xml:space="preserve">         OR   M=N/n=0.6/3=0.2</w:t>
            </w:r>
          </w:p>
          <w:p w:rsidR="002A216B" w:rsidRPr="00AB37A7" w:rsidRDefault="002A216B" w:rsidP="006D1D37">
            <w:pPr>
              <w:contextualSpacing/>
              <w:jc w:val="both"/>
              <w:rPr>
                <w:rFonts w:ascii="Cambria Math" w:hAnsi="Cambria Math"/>
                <w:vertAlign w:val="superscript"/>
              </w:rPr>
            </w:pPr>
            <w:r w:rsidRPr="00B950CB">
              <w:rPr>
                <w:rFonts w:ascii="Cambria Math" w:hAnsi="Cambria Math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⟶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+ 4</m:t>
              </m:r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ascii="Cambria Math" w:eastAsiaTheme="minorEastAsia" w:hAnsi="Cambria Math"/>
                <w:vertAlign w:val="superscript"/>
              </w:rPr>
              <w:t xml:space="preserve">-    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4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6D1D37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Pr="00942FD6" w:rsidRDefault="002A216B" w:rsidP="006D1D37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3e+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⟶ 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</m:t>
                    </m:r>
                  </m:sup>
                </m:sSup>
              </m:oMath>
            </m:oMathPara>
          </w:p>
          <w:p w:rsidR="002A216B" w:rsidRPr="00942FD6" w:rsidRDefault="002A216B" w:rsidP="006D1D37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∴M=N/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Valence </m:t>
              </m:r>
            </m:oMath>
            <w:r w:rsidRPr="00942FD6">
              <w:rPr>
                <w:rFonts w:ascii="Cambria Math" w:hAnsi="Cambria Math"/>
              </w:rPr>
              <w:t>factor = 0.6/3 = 0.2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5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A216B" w:rsidRPr="00B950CB" w:rsidRDefault="00554E0B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A216B" w:rsidRPr="00B950CB">
              <w:rPr>
                <w:rFonts w:ascii="Cambria Math" w:hAnsi="Cambria Math"/>
              </w:rPr>
              <w:t xml:space="preserve"> is reduced.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6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Default="002A216B" w:rsidP="00F729E9">
            <w:pPr>
              <w:contextualSpacing/>
            </w:pPr>
            <w:r>
              <w:rPr>
                <w:noProof/>
              </w:rPr>
              <w:drawing>
                <wp:inline distT="0" distB="0" distL="0" distR="0">
                  <wp:extent cx="2593340" cy="1419225"/>
                  <wp:effectExtent l="19050" t="0" r="0" b="0"/>
                  <wp:docPr id="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16B" w:rsidRPr="00611E2C" w:rsidRDefault="002A216B" w:rsidP="00F729E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this reaction Cu and Fe undergo reduction while sulphur undergoes oxidation. Hence, this is a redox reaction. 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7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---do----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8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⟶S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∴E=M/2=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=95</m:t>
                </m:r>
              </m:oMath>
            </m:oMathPara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9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N has +3 ox.no. which may increase (upto +5) or decrease (upto −3)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10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950CB">
              <w:rPr>
                <w:rFonts w:ascii="Cambria Math" w:hAnsi="Cambria Math"/>
              </w:rPr>
              <w:t xml:space="preserve"> is sodium peroxide.</w:t>
            </w:r>
          </w:p>
          <w:p w:rsidR="002A216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</w:p>
          <w:p w:rsidR="002A216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lastRenderedPageBreak/>
              <w:t>11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A216B" w:rsidRDefault="002A216B" w:rsidP="00F729E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Acidified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solution oxidises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into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oMath>
          </w:p>
          <w:p w:rsidR="002A216B" w:rsidRPr="00022D6F" w:rsidRDefault="002A216B" w:rsidP="00F729E9">
            <w:pPr>
              <w:contextualSpacing/>
              <w:rPr>
                <w:rFonts w:ascii="Cambria Math" w:hAnsi="Cambria Math"/>
                <w:vertAlign w:val="subscript"/>
              </w:rPr>
            </w:pPr>
            <w:r>
              <w:rPr>
                <w:rFonts w:ascii="Cambria Math" w:hAnsi="Cambria Math"/>
                <w:vertAlign w:val="subscript"/>
              </w:rPr>
              <w:t xml:space="preserve">                                                                            </w:t>
            </w:r>
            <w:r w:rsidR="00F24785">
              <w:rPr>
                <w:rFonts w:ascii="Cambria Math" w:hAnsi="Cambria Math"/>
                <w:vertAlign w:val="subscript"/>
              </w:rPr>
              <w:t xml:space="preserve">          </w:t>
            </w:r>
            <w:r w:rsidRPr="00F24785">
              <w:rPr>
                <w:rFonts w:ascii="Cambria Math" w:hAnsi="Cambria Math"/>
                <w:color w:val="FF0000"/>
                <w:highlight w:val="yellow"/>
                <w:vertAlign w:val="subscript"/>
              </w:rPr>
              <w:t>+4</w:t>
            </w:r>
            <w:r>
              <w:rPr>
                <w:rFonts w:ascii="Cambria Math" w:hAnsi="Cambria Math"/>
                <w:vertAlign w:val="subscript"/>
              </w:rPr>
              <w:t xml:space="preserve">                                                                                                                          </w:t>
            </w:r>
            <w:r w:rsidRPr="00F24785">
              <w:rPr>
                <w:rFonts w:ascii="Cambria Math" w:hAnsi="Cambria Math"/>
                <w:color w:val="FF0000"/>
                <w:highlight w:val="yellow"/>
                <w:vertAlign w:val="subscript"/>
              </w:rPr>
              <w:t>+6</w:t>
            </w:r>
          </w:p>
          <w:p w:rsidR="002A216B" w:rsidRDefault="002A216B" w:rsidP="00F729E9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⟶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2A216B" w:rsidRPr="00022D6F" w:rsidRDefault="002A216B" w:rsidP="00F729E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Hence, oxidation state of sulphur changes from +4 to +6.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12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 xml:space="preserve">Electronation is gain of electrons i.e.,  </w:t>
            </w:r>
            <m:oMath>
              <m:r>
                <w:rPr>
                  <w:rFonts w:ascii="Cambria Math" w:hAnsi="Cambria Math"/>
                </w:rPr>
                <m:t>A+e ⟶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13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Pr="00882C2B" w:rsidRDefault="002A216B" w:rsidP="00F729E9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3Fe→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oxidation</m:t>
                </m:r>
              </m:oMath>
            </m:oMathPara>
          </w:p>
          <w:p w:rsidR="002A216B" w:rsidRPr="00882C2B" w:rsidRDefault="002A216B" w:rsidP="00F729E9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A216B" w:rsidRPr="00882C2B" w:rsidRDefault="002A216B" w:rsidP="00F729E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Thus, there are lose of 8 electrons in the reaction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14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It is definition of volumetric analysis.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15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Pr="00E50DE0" w:rsidRDefault="002A216B" w:rsidP="00F729E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Oxidation takes place at anode (c) is not feasible, </w:t>
            </w:r>
            <m:oMath>
              <m:r>
                <w:rPr>
                  <w:rFonts w:ascii="Cambria Math" w:hAnsi="Cambria Math"/>
                </w:rPr>
                <m:t>i.e.,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is not oxidised to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2- </m:t>
                  </m:r>
                </m:sup>
              </m:sSubSup>
            </m:oMath>
            <w:r>
              <w:rPr>
                <w:rFonts w:ascii="Cambria Math" w:hAnsi="Cambria Math"/>
              </w:rPr>
              <w:t xml:space="preserve">under given conditions. Hence, option (d) is correct.  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16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⟶N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Pr="00942FD6">
              <w:rPr>
                <w:rFonts w:ascii="Cambria Math" w:hAnsi="Cambria Math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5+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⟶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</m:t>
                  </m:r>
                </m:sup>
              </m:sSup>
            </m:oMath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 xml:space="preserve">Thus,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Eq.wt. ofN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17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 xml:space="preserve">Carbon in oxalic acid has +3 oxidation state which may be increases to +4 (in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B950CB">
              <w:rPr>
                <w:rFonts w:ascii="Cambria Math" w:hAnsi="Cambria Math"/>
              </w:rPr>
              <w:t xml:space="preserve"> and thus, can act as reductant. Rest all have highest oxidation number. Ox.no. of N, Mn and S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KMn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18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Meq. of HN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=Meq. of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A216B" w:rsidRPr="00942FD6" w:rsidRDefault="00554E0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63/1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1000=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254/10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</m:t>
                </m:r>
                <m:r>
                  <w:rPr>
                    <w:rFonts w:ascii="Cambria Math" w:hAnsi="Cambria Math"/>
                  </w:rPr>
                  <m:t xml:space="preserve"> 1000</m:t>
                </m:r>
              </m:oMath>
            </m:oMathPara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=12.4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</m:t>
                </m:r>
              </m:oMath>
            </m:oMathPara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19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6+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⟶2C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p>
                </m:sSup>
              </m:oMath>
            </m:oMathPara>
          </w:p>
          <w:p w:rsidR="002A216B" w:rsidRPr="00B950CB" w:rsidRDefault="00554E0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20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A216B" w:rsidRPr="00942FD6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 w:rsidRPr="00942FD6">
              <w:rPr>
                <w:rFonts w:ascii="Cambria Math" w:hAnsi="Cambria Math"/>
              </w:rPr>
              <w:t>is reducing and complexing agent.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21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  <m:box>
                <m:boxPr>
                  <m:opEmu m:val="on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box>
            </m:oMath>
            <w:r w:rsidRPr="00B950CB">
              <w:rPr>
                <w:rFonts w:ascii="Cambria Math" w:hAnsi="Cambria Math"/>
              </w:rPr>
              <w:t xml:space="preserve">Ammonia solvated electrons are strongly reducing, impart blue colour to solution and are good conductor of current. </w:t>
            </w:r>
          </w:p>
        </w:tc>
      </w:tr>
      <w:tr w:rsidR="002A216B" w:rsidRPr="00453EAC" w:rsidTr="002A216B">
        <w:tc>
          <w:tcPr>
            <w:tcW w:w="126" w:type="pct"/>
            <w:tcMar>
              <w:left w:w="0" w:type="dxa"/>
              <w:right w:w="0" w:type="dxa"/>
            </w:tcMar>
          </w:tcPr>
          <w:p w:rsidR="002A216B" w:rsidRPr="009B1F10" w:rsidRDefault="002A216B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22</w:t>
            </w:r>
          </w:p>
        </w:tc>
        <w:tc>
          <w:tcPr>
            <w:tcW w:w="4874" w:type="pct"/>
            <w:gridSpan w:val="2"/>
            <w:tcMar>
              <w:left w:w="0" w:type="dxa"/>
              <w:right w:w="0" w:type="dxa"/>
            </w:tcMar>
          </w:tcPr>
          <w:p w:rsidR="002A216B" w:rsidRPr="003C05CE" w:rsidRDefault="002A216B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A216B" w:rsidRPr="00B950CB" w:rsidRDefault="002A216B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B950CB">
              <w:rPr>
                <w:rFonts w:ascii="Cambria Math" w:hAnsi="Cambria Math"/>
              </w:rPr>
              <w:t xml:space="preserve"> is a mixture of </w:t>
            </w:r>
            <m:oMath>
              <m:r>
                <w:rPr>
                  <w:rFonts w:ascii="Cambria Math" w:hAnsi="Cambria Math"/>
                </w:rPr>
                <m:t xml:space="preserve">FeO </m:t>
              </m:r>
            </m:oMath>
            <w:r w:rsidRPr="00B950CB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</w:tc>
      </w:tr>
    </w:tbl>
    <w:p w:rsidR="007A29EA" w:rsidRDefault="007A29EA" w:rsidP="00474580">
      <w:pPr>
        <w:tabs>
          <w:tab w:val="left" w:pos="3267"/>
        </w:tabs>
        <w:spacing w:line="240" w:lineRule="auto"/>
        <w:contextualSpacing/>
        <w:rPr>
          <w:rFonts w:asciiTheme="majorHAnsi" w:hAnsiTheme="majorHAnsi"/>
        </w:rPr>
      </w:pPr>
    </w:p>
    <w:tbl>
      <w:tblPr>
        <w:tblW w:w="5000" w:type="pct"/>
        <w:tblLayout w:type="fixed"/>
        <w:tblLook w:val="04A0"/>
      </w:tblPr>
      <w:tblGrid>
        <w:gridCol w:w="942"/>
        <w:gridCol w:w="9768"/>
      </w:tblGrid>
      <w:tr w:rsidR="009B1F10" w:rsidRPr="00B950CB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23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B1F10" w:rsidRPr="00B950CB" w:rsidRDefault="009B1F10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VS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B950CB">
              <w:rPr>
                <w:rFonts w:ascii="Cambria Math" w:hAnsi="Cambria Math"/>
              </w:rPr>
              <w:t xml:space="preserve"> is isomorphous to,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FeS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9B1F10" w:rsidRPr="00AD0FBC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24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B1F10" w:rsidRPr="00E50DE0" w:rsidRDefault="00554E0B" w:rsidP="00F729E9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=Mn=+7</m:t>
                </m:r>
              </m:oMath>
            </m:oMathPara>
          </w:p>
          <w:p w:rsidR="009B1F10" w:rsidRPr="00AD0FBC" w:rsidRDefault="00554E0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=Mn=+6</m:t>
                </m:r>
              </m:oMath>
            </m:oMathPara>
          </w:p>
          <w:p w:rsidR="009B1F10" w:rsidRPr="00AD0FBC" w:rsidRDefault="00554E0B" w:rsidP="00F729E9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=Mn=+4</m:t>
                </m:r>
              </m:oMath>
            </m:oMathPara>
          </w:p>
          <w:p w:rsidR="009B1F10" w:rsidRPr="00AD0FBC" w:rsidRDefault="00554E0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=Mn=+3</m:t>
                </m:r>
              </m:oMath>
            </m:oMathPara>
          </w:p>
          <w:p w:rsidR="009B1F10" w:rsidRPr="00AD0FBC" w:rsidRDefault="009B1F10" w:rsidP="00F729E9">
            <w:pPr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Hence, changes in oxidation number are 5,1,3,4.</w:t>
            </w:r>
          </w:p>
        </w:tc>
      </w:tr>
      <w:tr w:rsidR="009B1F10" w:rsidRPr="00B950CB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25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B1F10" w:rsidRPr="00B950CB" w:rsidRDefault="009B1F10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Alkaline earth metals have only +2 ox.no. in combined state.</w:t>
            </w:r>
          </w:p>
        </w:tc>
      </w:tr>
      <w:tr w:rsidR="009B1F10" w:rsidRPr="00B950CB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26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B1F10" w:rsidRDefault="009B1F10" w:rsidP="00F729E9">
            <w:pPr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Alkali metals are strongest reducing agents.</w:t>
            </w:r>
          </w:p>
          <w:p w:rsidR="00F24785" w:rsidRPr="00B950CB" w:rsidRDefault="00F24785" w:rsidP="00F729E9">
            <w:pPr>
              <w:contextualSpacing/>
              <w:jc w:val="both"/>
              <w:rPr>
                <w:rFonts w:ascii="Cambria Math" w:hAnsi="Cambria Math"/>
              </w:rPr>
            </w:pPr>
          </w:p>
        </w:tc>
      </w:tr>
      <w:tr w:rsidR="009B1F10" w:rsidRPr="00942FD6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lastRenderedPageBreak/>
              <w:t>27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B1F10" w:rsidRPr="00942FD6" w:rsidRDefault="00554E0B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⟶2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9B1F10" w:rsidRPr="00B950CB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28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B1F10" w:rsidRPr="00B950CB" w:rsidRDefault="009B1F10" w:rsidP="00F729E9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⟶F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  <m:r>
                <w:rPr>
                  <w:rFonts w:ascii="Cambria Math" w:hAnsi="Cambria Math"/>
                </w:rPr>
                <m:t>e</m:t>
              </m:r>
            </m:oMath>
            <w:r w:rsidRPr="00B950CB">
              <w:rPr>
                <w:rFonts w:ascii="Cambria Math" w:hAnsi="Cambria Math"/>
              </w:rPr>
              <w:t>.</w:t>
            </w:r>
          </w:p>
        </w:tc>
      </w:tr>
      <w:tr w:rsidR="009B1F10" w:rsidRPr="00B91C23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29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B1F10" w:rsidRPr="00B91C23" w:rsidRDefault="00554E0B" w:rsidP="00F729E9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9B1F10" w:rsidRPr="00B950CB" w:rsidTr="00F729E9">
        <w:tc>
          <w:tcPr>
            <w:tcW w:w="440" w:type="pct"/>
            <w:tcMar>
              <w:left w:w="0" w:type="dxa"/>
              <w:right w:w="0" w:type="dxa"/>
            </w:tcMar>
          </w:tcPr>
          <w:p w:rsidR="009B1F10" w:rsidRPr="009B1F10" w:rsidRDefault="009B1F10" w:rsidP="00F729E9">
            <w:pPr>
              <w:contextualSpacing/>
              <w:rPr>
                <w:rFonts w:ascii="Algerian" w:hAnsi="Algerian"/>
              </w:rPr>
            </w:pPr>
            <w:r w:rsidRPr="009B1F10">
              <w:rPr>
                <w:rFonts w:ascii="Algerian" w:hAnsi="Algerian"/>
              </w:rPr>
              <w:t>30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9B1F10" w:rsidRPr="003C05CE" w:rsidRDefault="009B1F10" w:rsidP="00F729E9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B1F10" w:rsidRPr="00B950CB" w:rsidRDefault="009B1F10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B1F10" w:rsidRPr="00B950CB" w:rsidRDefault="009B1F10" w:rsidP="00F729E9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∴a= +2</m:t>
                </m:r>
              </m:oMath>
            </m:oMathPara>
          </w:p>
        </w:tc>
      </w:tr>
    </w:tbl>
    <w:p w:rsidR="009B1F10" w:rsidRDefault="009B1F10" w:rsidP="00474580">
      <w:pPr>
        <w:tabs>
          <w:tab w:val="left" w:pos="3267"/>
        </w:tabs>
        <w:spacing w:line="240" w:lineRule="auto"/>
        <w:contextualSpacing/>
        <w:rPr>
          <w:rFonts w:asciiTheme="majorHAnsi" w:hAnsiTheme="majorHAnsi"/>
        </w:rPr>
      </w:pPr>
    </w:p>
    <w:sectPr w:rsidR="009B1F10" w:rsidSect="00E17C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45F" w:rsidRDefault="0066645F" w:rsidP="00577C67">
      <w:pPr>
        <w:spacing w:after="0" w:line="240" w:lineRule="auto"/>
      </w:pPr>
      <w:r>
        <w:separator/>
      </w:r>
    </w:p>
  </w:endnote>
  <w:endnote w:type="continuationSeparator" w:id="1">
    <w:p w:rsidR="0066645F" w:rsidRDefault="0066645F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45F" w:rsidRDefault="0066645F" w:rsidP="00577C67">
      <w:pPr>
        <w:spacing w:after="0" w:line="240" w:lineRule="auto"/>
      </w:pPr>
      <w:r>
        <w:separator/>
      </w:r>
    </w:p>
  </w:footnote>
  <w:footnote w:type="continuationSeparator" w:id="1">
    <w:p w:rsidR="0066645F" w:rsidRDefault="0066645F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554E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554E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554E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97814"/>
    <w:multiLevelType w:val="multilevel"/>
    <w:tmpl w:val="EAB0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4994">
      <o:colormenu v:ext="edit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2D00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554C1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216B"/>
    <w:rsid w:val="002A4EFC"/>
    <w:rsid w:val="002B1609"/>
    <w:rsid w:val="002C066B"/>
    <w:rsid w:val="002D5F0E"/>
    <w:rsid w:val="002E36F2"/>
    <w:rsid w:val="002E3FA0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4FB5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74580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797B"/>
    <w:rsid w:val="00550ED0"/>
    <w:rsid w:val="00554E0B"/>
    <w:rsid w:val="00555F32"/>
    <w:rsid w:val="005620F9"/>
    <w:rsid w:val="00564F3F"/>
    <w:rsid w:val="00576985"/>
    <w:rsid w:val="00577C67"/>
    <w:rsid w:val="00581851"/>
    <w:rsid w:val="005A5FDC"/>
    <w:rsid w:val="005B09E7"/>
    <w:rsid w:val="005B4B68"/>
    <w:rsid w:val="005C13A1"/>
    <w:rsid w:val="005C2073"/>
    <w:rsid w:val="005C2D03"/>
    <w:rsid w:val="005E2085"/>
    <w:rsid w:val="005F405A"/>
    <w:rsid w:val="00605A54"/>
    <w:rsid w:val="00613C6E"/>
    <w:rsid w:val="006324EE"/>
    <w:rsid w:val="006375DC"/>
    <w:rsid w:val="00641929"/>
    <w:rsid w:val="006613C0"/>
    <w:rsid w:val="0066645F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1EE2"/>
    <w:rsid w:val="007358CC"/>
    <w:rsid w:val="007367F8"/>
    <w:rsid w:val="00736DDD"/>
    <w:rsid w:val="00740241"/>
    <w:rsid w:val="00741B39"/>
    <w:rsid w:val="00746ADC"/>
    <w:rsid w:val="007471E7"/>
    <w:rsid w:val="00750F8D"/>
    <w:rsid w:val="00752072"/>
    <w:rsid w:val="007701B7"/>
    <w:rsid w:val="00770C06"/>
    <w:rsid w:val="00771F18"/>
    <w:rsid w:val="00772356"/>
    <w:rsid w:val="00772C0C"/>
    <w:rsid w:val="0077599F"/>
    <w:rsid w:val="00782A68"/>
    <w:rsid w:val="0079015D"/>
    <w:rsid w:val="0079653C"/>
    <w:rsid w:val="007A29EA"/>
    <w:rsid w:val="007B2DF2"/>
    <w:rsid w:val="007B57F8"/>
    <w:rsid w:val="007C1E14"/>
    <w:rsid w:val="007D4CAD"/>
    <w:rsid w:val="007F22FF"/>
    <w:rsid w:val="0080404B"/>
    <w:rsid w:val="00804FE1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6327F"/>
    <w:rsid w:val="00863BCC"/>
    <w:rsid w:val="0086792E"/>
    <w:rsid w:val="008733F9"/>
    <w:rsid w:val="00874669"/>
    <w:rsid w:val="008A3B4E"/>
    <w:rsid w:val="008E2121"/>
    <w:rsid w:val="008E6E09"/>
    <w:rsid w:val="008F0343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1F10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0BE9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568E9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4924"/>
    <w:rsid w:val="00C30FF3"/>
    <w:rsid w:val="00C45FEA"/>
    <w:rsid w:val="00C47980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485E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40A6B"/>
    <w:rsid w:val="00D41569"/>
    <w:rsid w:val="00D57528"/>
    <w:rsid w:val="00D73121"/>
    <w:rsid w:val="00D77DF0"/>
    <w:rsid w:val="00D821D5"/>
    <w:rsid w:val="00D84059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24785"/>
    <w:rsid w:val="00F37ABD"/>
    <w:rsid w:val="00F42A78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strokecolor="none [3212]"/>
    </o:shapedefaults>
    <o:shapelayout v:ext="edit">
      <o:idmap v:ext="edit" data="1"/>
      <o:rules v:ext="edit">
        <o:r id="V:Rule6" type="connector" idref="#_x0000_s1028"/>
        <o:r id="V:Rule7" type="connector" idref="#_x0000_s1034"/>
        <o:r id="V:Rule8" type="connector" idref="#_x0000_s1033"/>
        <o:r id="V:Rule9" type="connector" idref="#_x0000_s1042"/>
        <o:r id="V:Rule1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731E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7E847-5039-4A0D-9961-8386AF52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masterspu</cp:lastModifiedBy>
  <cp:revision>2</cp:revision>
  <cp:lastPrinted>2018-08-09T11:44:00Z</cp:lastPrinted>
  <dcterms:created xsi:type="dcterms:W3CDTF">2020-04-16T04:04:00Z</dcterms:created>
  <dcterms:modified xsi:type="dcterms:W3CDTF">2020-04-16T04:04:00Z</dcterms:modified>
</cp:coreProperties>
</file>