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4E5" w:rsidRDefault="00F92644" w:rsidP="004E151A">
      <w:r>
        <w:rPr>
          <w:noProof/>
        </w:rPr>
        <w:pict>
          <v:shapetype id="_x0000_t32" coordsize="21600,21600" o:spt="32" o:oned="t" path="m,l21600,21600e" filled="f">
            <v:path arrowok="t" fillok="f" o:connecttype="none"/>
            <o:lock v:ext="edit" shapetype="t"/>
          </v:shapetype>
          <v:shape id="_x0000_s1033" type="#_x0000_t32" style="position:absolute;margin-left:452.25pt;margin-top:14.7pt;width:0;height:57.75pt;z-index:251663360" o:connectortype="straight"/>
        </w:pict>
      </w:r>
      <w:r>
        <w:rPr>
          <w:noProof/>
        </w:rPr>
        <w:pict>
          <v:shapetype id="_x0000_t202" coordsize="21600,21600" o:spt="202" path="m,l,21600r21600,l21600,xe">
            <v:stroke joinstyle="miter"/>
            <v:path gradientshapeok="t" o:connecttype="rect"/>
          </v:shapetype>
          <v:shape id="_x0000_s1029" type="#_x0000_t202" style="position:absolute;margin-left:-9pt;margin-top:19.95pt;width:93.75pt;height:21.75pt;z-index:251661312" strokecolor="white [3212]">
            <v:textbox style="mso-next-textbox:#_x0000_s1029">
              <w:txbxContent>
                <w:p w:rsidR="000417DB" w:rsidRPr="008E6E09" w:rsidRDefault="000417DB" w:rsidP="00A064E5">
                  <w:pPr>
                    <w:ind w:left="-90"/>
                    <w:rPr>
                      <w:b/>
                    </w:rPr>
                  </w:pPr>
                  <w:r>
                    <w:rPr>
                      <w:b/>
                    </w:rPr>
                    <w:t>Reg. NO:</w:t>
                  </w:r>
                </w:p>
              </w:txbxContent>
            </v:textbox>
          </v:shape>
        </w:pict>
      </w:r>
      <w:r>
        <w:rPr>
          <w:noProof/>
        </w:rPr>
        <w:pict>
          <v:roundrect id="_x0000_s1026" style="position:absolute;margin-left:-12pt;margin-top:15.75pt;width:547.5pt;height:57.75pt;z-index:251658240" arcsize="10923f">
            <v:textbox style="mso-next-textbox:#_x0000_s1026">
              <w:txbxContent>
                <w:p w:rsidR="000417DB" w:rsidRDefault="000417DB">
                  <w:r>
                    <w:t xml:space="preserve">                                      </w:t>
                  </w:r>
                  <w:r w:rsidR="00F92644">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7" type="#_x0000_t136" style="width:356.25pt;height:24.7pt">
                        <v:shadow on="t" opacity="52429f"/>
                        <v:textpath style="font-family:&quot;Arial Black&quot;;font-style:italic;v-text-kern:t" trim="t" fitpath="t" string="MASTERS PU COLLEGE, HASSAN"/>
                      </v:shape>
                    </w:pict>
                  </w:r>
                </w:p>
                <w:p w:rsidR="000417DB" w:rsidRDefault="000417DB">
                  <w:r>
                    <w:t xml:space="preserve">   </w:t>
                  </w:r>
                </w:p>
              </w:txbxContent>
            </v:textbox>
          </v:roundrect>
        </w:pict>
      </w:r>
      <w:r>
        <w:rPr>
          <w:noProof/>
        </w:rPr>
        <w:pict>
          <v:shape id="_x0000_s1027" type="#_x0000_t32" style="position:absolute;margin-left:89.25pt;margin-top:14.7pt;width:0;height:57.75pt;z-index:251659264" o:connectortype="straight"/>
        </w:pict>
      </w:r>
      <w:r>
        <w:rPr>
          <w:noProof/>
        </w:rPr>
        <w:pict>
          <v:shape id="_x0000_s1036" type="#_x0000_t202" style="position:absolute;margin-left:455.25pt;margin-top:45.45pt;width:78.75pt;height:21.75pt;z-index:251666432" strokecolor="white [3212]">
            <v:textbox style="mso-next-textbox:#_x0000_s1036">
              <w:txbxContent>
                <w:p w:rsidR="000417DB" w:rsidRPr="008E6E09" w:rsidRDefault="000417DB" w:rsidP="000C4AF2">
                  <w:pPr>
                    <w:ind w:left="-90"/>
                    <w:rPr>
                      <w:b/>
                      <w:sz w:val="24"/>
                    </w:rPr>
                  </w:pPr>
                  <w:r>
                    <w:rPr>
                      <w:b/>
                      <w:sz w:val="24"/>
                    </w:rPr>
                    <w:t>TIME: 45 MIN</w:t>
                  </w:r>
                </w:p>
              </w:txbxContent>
            </v:textbox>
          </v:shape>
        </w:pict>
      </w:r>
      <w:r>
        <w:rPr>
          <w:noProof/>
        </w:rPr>
        <w:pict>
          <v:shape id="_x0000_s1035" type="#_x0000_t202" style="position:absolute;margin-left:454.5pt;margin-top:19.95pt;width:79.5pt;height:21.75pt;z-index:251665408" strokecolor="white [3212]">
            <v:textbox style="mso-next-textbox:#_x0000_s1035">
              <w:txbxContent>
                <w:p w:rsidR="000417DB" w:rsidRPr="008E6E09" w:rsidRDefault="000417DB" w:rsidP="000C4AF2">
                  <w:pPr>
                    <w:ind w:left="-180"/>
                    <w:rPr>
                      <w:b/>
                    </w:rPr>
                  </w:pPr>
                  <w:r>
                    <w:rPr>
                      <w:b/>
                    </w:rPr>
                    <w:t xml:space="preserve">  DATE: </w:t>
                  </w:r>
                  <w:r w:rsidR="00FC0CA2">
                    <w:rPr>
                      <w:b/>
                    </w:rPr>
                    <w:t>19</w:t>
                  </w:r>
                  <w:r>
                    <w:rPr>
                      <w:b/>
                    </w:rPr>
                    <w:t>.</w:t>
                  </w:r>
                  <w:r w:rsidR="00051A32">
                    <w:rPr>
                      <w:b/>
                    </w:rPr>
                    <w:t>4.20</w:t>
                  </w:r>
                </w:p>
              </w:txbxContent>
            </v:textbox>
          </v:shape>
        </w:pict>
      </w:r>
    </w:p>
    <w:p w:rsidR="00A064E5" w:rsidRDefault="00F92644" w:rsidP="004E151A">
      <w:r>
        <w:rPr>
          <w:noProof/>
        </w:rPr>
        <w:pict>
          <v:shape id="_x0000_s1037" type="#_x0000_t202" style="position:absolute;margin-left:98pt;margin-top:20pt;width:350.25pt;height:22.95pt;z-index:251667456" strokecolor="white [3212]">
            <v:textbox style="mso-next-textbox:#_x0000_s1037">
              <w:txbxContent>
                <w:p w:rsidR="000417DB" w:rsidRPr="008F0343" w:rsidRDefault="008F0343" w:rsidP="007A29EA">
                  <w:pPr>
                    <w:ind w:left="-180"/>
                    <w:rPr>
                      <w:b/>
                      <w:sz w:val="20"/>
                    </w:rPr>
                  </w:pPr>
                  <w:r>
                    <w:rPr>
                      <w:b/>
                      <w:sz w:val="18"/>
                    </w:rPr>
                    <w:t xml:space="preserve">  </w:t>
                  </w:r>
                  <w:r w:rsidRPr="008F0343">
                    <w:rPr>
                      <w:b/>
                      <w:sz w:val="18"/>
                    </w:rPr>
                    <w:t>CLASSIFICATION OF ELEMENTS AND  PERIODICITY  IN PROPERTIES</w:t>
                  </w:r>
                  <w:r>
                    <w:rPr>
                      <w:b/>
                      <w:sz w:val="18"/>
                    </w:rPr>
                    <w:t>-</w:t>
                  </w:r>
                  <w:r w:rsidR="00B206C4">
                    <w:rPr>
                      <w:b/>
                      <w:sz w:val="18"/>
                    </w:rPr>
                    <w:t>KEY-</w:t>
                  </w:r>
                  <w:r w:rsidR="007A29EA" w:rsidRPr="008F0343">
                    <w:rPr>
                      <w:b/>
                      <w:sz w:val="18"/>
                    </w:rPr>
                    <w:t xml:space="preserve"> AND SOLUTIONS</w:t>
                  </w:r>
                </w:p>
              </w:txbxContent>
            </v:textbox>
          </v:shape>
        </w:pict>
      </w:r>
      <w:r>
        <w:rPr>
          <w:noProof/>
        </w:rPr>
        <w:pict>
          <v:shape id="_x0000_s1030" type="#_x0000_t202" style="position:absolute;margin-left:-3.75pt;margin-top:20pt;width:88.5pt;height:27pt;z-index:251668480" strokecolor="white [3212]">
            <v:textbox style="mso-next-textbox:#_x0000_s1030">
              <w:txbxContent>
                <w:p w:rsidR="000417DB" w:rsidRPr="00A064E5" w:rsidRDefault="00051A32" w:rsidP="008E6E09">
                  <w:pPr>
                    <w:rPr>
                      <w:b/>
                      <w:sz w:val="40"/>
                    </w:rPr>
                  </w:pPr>
                  <w:r w:rsidRPr="00051A32">
                    <w:rPr>
                      <w:b/>
                      <w:sz w:val="16"/>
                    </w:rPr>
                    <w:t>SUBJECT:  CHEMISTRY</w:t>
                  </w:r>
                  <w:r w:rsidR="000417DB">
                    <w:rPr>
                      <w:b/>
                      <w:sz w:val="24"/>
                    </w:rPr>
                    <w:tab/>
                  </w:r>
                </w:p>
              </w:txbxContent>
            </v:textbox>
          </v:shape>
        </w:pict>
      </w:r>
      <w:r>
        <w:rPr>
          <w:noProof/>
        </w:rPr>
        <w:pict>
          <v:shape id="_x0000_s1034" type="#_x0000_t32" style="position:absolute;margin-left:452.25pt;margin-top:17.8pt;width:83.25pt;height:0;z-index:251664384" o:connectortype="straight"/>
        </w:pict>
      </w:r>
      <w:r>
        <w:rPr>
          <w:noProof/>
        </w:rPr>
        <w:pict>
          <v:shape id="_x0000_s1028" type="#_x0000_t32" style="position:absolute;margin-left:-12pt;margin-top:17.75pt;width:101.25pt;height:.05pt;z-index:251660288" o:connectortype="straight"/>
        </w:pict>
      </w:r>
    </w:p>
    <w:p w:rsidR="007A29EA" w:rsidRDefault="007A29EA" w:rsidP="004E151A"/>
    <w:tbl>
      <w:tblPr>
        <w:tblW w:w="5000" w:type="pct"/>
        <w:tblLayout w:type="fixed"/>
        <w:tblLook w:val="04A0"/>
      </w:tblPr>
      <w:tblGrid>
        <w:gridCol w:w="943"/>
        <w:gridCol w:w="9525"/>
        <w:gridCol w:w="242"/>
      </w:tblGrid>
      <w:tr w:rsidR="007A29EA" w:rsidRPr="00453EAC" w:rsidTr="000255E8">
        <w:tc>
          <w:tcPr>
            <w:tcW w:w="5000" w:type="pct"/>
            <w:gridSpan w:val="3"/>
            <w:tcMar>
              <w:left w:w="0" w:type="dxa"/>
              <w:right w:w="0" w:type="dxa"/>
            </w:tcMar>
          </w:tcPr>
          <w:tbl>
            <w:tblPr>
              <w:tblStyle w:val="LightGrid-Accent6"/>
              <w:tblpPr w:leftFromText="180" w:rightFromText="180" w:horzAnchor="page" w:tblpX="3204" w:tblpY="322"/>
              <w:tblOverlap w:val="never"/>
              <w:tblW w:w="5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5"/>
              <w:gridCol w:w="645"/>
              <w:gridCol w:w="645"/>
              <w:gridCol w:w="645"/>
              <w:gridCol w:w="645"/>
              <w:gridCol w:w="645"/>
              <w:gridCol w:w="646"/>
              <w:gridCol w:w="646"/>
            </w:tblGrid>
            <w:tr w:rsidR="00DA3ED5" w:rsidRPr="00DA3ED5" w:rsidTr="00DA3ED5">
              <w:trPr>
                <w:cnfStyle w:val="100000000000"/>
              </w:trPr>
              <w:tc>
                <w:tcPr>
                  <w:cnfStyle w:val="001000000000"/>
                  <w:tcW w:w="5162" w:type="dxa"/>
                  <w:gridSpan w:val="8"/>
                </w:tcPr>
                <w:p w:rsidR="00DA3ED5" w:rsidRPr="00DA3ED5" w:rsidRDefault="00DA3ED5" w:rsidP="00C11D1C">
                  <w:pPr>
                    <w:contextualSpacing/>
                    <w:jc w:val="center"/>
                    <w:rPr>
                      <w:b w:val="0"/>
                      <w:bCs w:val="0"/>
                    </w:rPr>
                  </w:pPr>
                  <w:r>
                    <w:rPr>
                      <w:color w:val="FFFFFF" w:themeColor="background1"/>
                      <w:sz w:val="32"/>
                      <w:szCs w:val="32"/>
                    </w:rPr>
                    <w:t>:</w:t>
                  </w:r>
                  <w:r w:rsidRPr="008F0343">
                    <w:rPr>
                      <w:sz w:val="18"/>
                    </w:rPr>
                    <w:t>CLASSIFICATION OF ELEMENTS AND  PERIODICITY  IN PROPERTIES</w:t>
                  </w:r>
                  <w:r>
                    <w:rPr>
                      <w:sz w:val="18"/>
                    </w:rPr>
                    <w:t xml:space="preserve">  ANSWER KEY</w:t>
                  </w:r>
                </w:p>
              </w:tc>
            </w:tr>
            <w:tr w:rsidR="00DA3ED5" w:rsidRPr="00DA3ED5" w:rsidTr="00DA3ED5">
              <w:trPr>
                <w:cnfStyle w:val="000000100000"/>
              </w:trPr>
              <w:tc>
                <w:tcPr>
                  <w:cnfStyle w:val="001000000000"/>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rPr>
                      <w:b w:val="0"/>
                      <w:bCs w:val="0"/>
                    </w:rPr>
                  </w:pPr>
                  <w:r w:rsidRPr="00DA3ED5">
                    <w:t>1)</w:t>
                  </w:r>
                </w:p>
              </w:tc>
              <w:tc>
                <w:tcPr>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d</w:t>
                  </w:r>
                </w:p>
              </w:tc>
              <w:tc>
                <w:tcPr>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2)</w:t>
                  </w:r>
                </w:p>
              </w:tc>
              <w:tc>
                <w:tcPr>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c</w:t>
                  </w:r>
                </w:p>
              </w:tc>
              <w:tc>
                <w:tcPr>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3)</w:t>
                  </w:r>
                </w:p>
              </w:tc>
              <w:tc>
                <w:tcPr>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b</w:t>
                  </w:r>
                </w:p>
              </w:tc>
              <w:tc>
                <w:tcPr>
                  <w:tcW w:w="646"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4)</w:t>
                  </w:r>
                </w:p>
              </w:tc>
              <w:tc>
                <w:tcPr>
                  <w:tcW w:w="646"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rPr>
                  </w:pPr>
                  <w:r w:rsidRPr="00DA3ED5">
                    <w:rPr>
                      <w:rFonts w:asciiTheme="majorHAnsi" w:hAnsiTheme="majorHAnsi"/>
                      <w:b/>
                      <w:bCs/>
                    </w:rPr>
                    <w:t>b</w:t>
                  </w:r>
                </w:p>
              </w:tc>
            </w:tr>
            <w:tr w:rsidR="00DA3ED5" w:rsidRPr="00DA3ED5" w:rsidTr="00DA3ED5">
              <w:trPr>
                <w:cnfStyle w:val="000000010000"/>
              </w:trPr>
              <w:tc>
                <w:tcPr>
                  <w:cnfStyle w:val="001000000000"/>
                  <w:tcW w:w="645" w:type="dxa"/>
                </w:tcPr>
                <w:p w:rsidR="00DA3ED5" w:rsidRPr="00DA3ED5" w:rsidRDefault="00DA3ED5" w:rsidP="00536837">
                  <w:pPr>
                    <w:contextualSpacing/>
                    <w:jc w:val="center"/>
                    <w:rPr>
                      <w:b w:val="0"/>
                      <w:bCs w:val="0"/>
                    </w:rPr>
                  </w:pPr>
                  <w:r w:rsidRPr="00DA3ED5">
                    <w:t>5)</w:t>
                  </w:r>
                </w:p>
              </w:tc>
              <w:tc>
                <w:tcPr>
                  <w:tcW w:w="645" w:type="dxa"/>
                </w:tcPr>
                <w:p w:rsidR="00DA3ED5" w:rsidRPr="00DA3ED5" w:rsidRDefault="00DA3ED5" w:rsidP="00536837">
                  <w:pPr>
                    <w:contextualSpacing/>
                    <w:jc w:val="center"/>
                    <w:cnfStyle w:val="000000010000"/>
                    <w:rPr>
                      <w:rFonts w:asciiTheme="majorHAnsi" w:hAnsiTheme="majorHAnsi"/>
                      <w:b/>
                      <w:bCs/>
                    </w:rPr>
                  </w:pPr>
                  <w:r w:rsidRPr="00DA3ED5">
                    <w:rPr>
                      <w:rFonts w:asciiTheme="majorHAnsi" w:hAnsiTheme="majorHAnsi"/>
                      <w:b/>
                      <w:bCs/>
                    </w:rPr>
                    <w:t>b</w:t>
                  </w:r>
                </w:p>
              </w:tc>
              <w:tc>
                <w:tcPr>
                  <w:tcW w:w="645" w:type="dxa"/>
                </w:tcPr>
                <w:p w:rsidR="00DA3ED5" w:rsidRPr="00DA3ED5" w:rsidRDefault="00DA3ED5" w:rsidP="00536837">
                  <w:pPr>
                    <w:contextualSpacing/>
                    <w:jc w:val="center"/>
                    <w:cnfStyle w:val="000000010000"/>
                    <w:rPr>
                      <w:rFonts w:asciiTheme="majorHAnsi" w:hAnsiTheme="majorHAnsi"/>
                      <w:b/>
                      <w:bCs/>
                    </w:rPr>
                  </w:pPr>
                  <w:r w:rsidRPr="00DA3ED5">
                    <w:rPr>
                      <w:rFonts w:asciiTheme="majorHAnsi" w:hAnsiTheme="majorHAnsi"/>
                      <w:b/>
                      <w:bCs/>
                    </w:rPr>
                    <w:t>6)</w:t>
                  </w:r>
                </w:p>
              </w:tc>
              <w:tc>
                <w:tcPr>
                  <w:tcW w:w="645" w:type="dxa"/>
                </w:tcPr>
                <w:p w:rsidR="00DA3ED5" w:rsidRPr="00DA3ED5" w:rsidRDefault="00DA3ED5" w:rsidP="00536837">
                  <w:pPr>
                    <w:contextualSpacing/>
                    <w:jc w:val="center"/>
                    <w:cnfStyle w:val="000000010000"/>
                    <w:rPr>
                      <w:rFonts w:asciiTheme="majorHAnsi" w:hAnsiTheme="majorHAnsi"/>
                      <w:b/>
                      <w:bCs/>
                    </w:rPr>
                  </w:pPr>
                  <w:r w:rsidRPr="00DA3ED5">
                    <w:rPr>
                      <w:rFonts w:asciiTheme="majorHAnsi" w:hAnsiTheme="majorHAnsi"/>
                      <w:b/>
                      <w:bCs/>
                    </w:rPr>
                    <w:t>b</w:t>
                  </w:r>
                </w:p>
              </w:tc>
              <w:tc>
                <w:tcPr>
                  <w:tcW w:w="645" w:type="dxa"/>
                </w:tcPr>
                <w:p w:rsidR="00DA3ED5" w:rsidRPr="00DA3ED5" w:rsidRDefault="00DA3ED5" w:rsidP="00536837">
                  <w:pPr>
                    <w:contextualSpacing/>
                    <w:jc w:val="center"/>
                    <w:cnfStyle w:val="000000010000"/>
                    <w:rPr>
                      <w:rFonts w:asciiTheme="majorHAnsi" w:hAnsiTheme="majorHAnsi"/>
                      <w:b/>
                      <w:bCs/>
                    </w:rPr>
                  </w:pPr>
                  <w:r w:rsidRPr="00DA3ED5">
                    <w:rPr>
                      <w:rFonts w:asciiTheme="majorHAnsi" w:hAnsiTheme="majorHAnsi"/>
                      <w:b/>
                      <w:bCs/>
                    </w:rPr>
                    <w:t>7)</w:t>
                  </w:r>
                </w:p>
              </w:tc>
              <w:tc>
                <w:tcPr>
                  <w:tcW w:w="645" w:type="dxa"/>
                </w:tcPr>
                <w:p w:rsidR="00DA3ED5" w:rsidRPr="00DA3ED5" w:rsidRDefault="00DA3ED5" w:rsidP="00536837">
                  <w:pPr>
                    <w:contextualSpacing/>
                    <w:jc w:val="center"/>
                    <w:cnfStyle w:val="000000010000"/>
                    <w:rPr>
                      <w:rFonts w:asciiTheme="majorHAnsi" w:hAnsiTheme="majorHAnsi"/>
                      <w:b/>
                      <w:bCs/>
                    </w:rPr>
                  </w:pPr>
                  <w:r w:rsidRPr="00DA3ED5">
                    <w:rPr>
                      <w:rFonts w:asciiTheme="majorHAnsi" w:hAnsiTheme="majorHAnsi"/>
                      <w:b/>
                      <w:bCs/>
                    </w:rPr>
                    <w:t>d</w:t>
                  </w:r>
                </w:p>
              </w:tc>
              <w:tc>
                <w:tcPr>
                  <w:tcW w:w="646" w:type="dxa"/>
                </w:tcPr>
                <w:p w:rsidR="00DA3ED5" w:rsidRPr="00DA3ED5" w:rsidRDefault="00DA3ED5" w:rsidP="00536837">
                  <w:pPr>
                    <w:contextualSpacing/>
                    <w:jc w:val="center"/>
                    <w:cnfStyle w:val="000000010000"/>
                    <w:rPr>
                      <w:rFonts w:asciiTheme="majorHAnsi" w:hAnsiTheme="majorHAnsi"/>
                      <w:b/>
                      <w:bCs/>
                    </w:rPr>
                  </w:pPr>
                  <w:r w:rsidRPr="00DA3ED5">
                    <w:rPr>
                      <w:rFonts w:asciiTheme="majorHAnsi" w:hAnsiTheme="majorHAnsi"/>
                      <w:b/>
                      <w:bCs/>
                    </w:rPr>
                    <w:t>8)</w:t>
                  </w:r>
                </w:p>
              </w:tc>
              <w:tc>
                <w:tcPr>
                  <w:tcW w:w="646" w:type="dxa"/>
                </w:tcPr>
                <w:p w:rsidR="00DA3ED5" w:rsidRPr="00DA3ED5" w:rsidRDefault="00DA3ED5" w:rsidP="00536837">
                  <w:pPr>
                    <w:contextualSpacing/>
                    <w:jc w:val="center"/>
                    <w:cnfStyle w:val="000000010000"/>
                    <w:rPr>
                      <w:rFonts w:asciiTheme="majorHAnsi" w:hAnsiTheme="majorHAnsi"/>
                    </w:rPr>
                  </w:pPr>
                  <w:r w:rsidRPr="00DA3ED5">
                    <w:rPr>
                      <w:rFonts w:asciiTheme="majorHAnsi" w:hAnsiTheme="majorHAnsi"/>
                      <w:b/>
                      <w:bCs/>
                    </w:rPr>
                    <w:t>a</w:t>
                  </w:r>
                </w:p>
              </w:tc>
            </w:tr>
            <w:tr w:rsidR="00DA3ED5" w:rsidRPr="00DA3ED5" w:rsidTr="00DA3ED5">
              <w:trPr>
                <w:cnfStyle w:val="000000100000"/>
              </w:trPr>
              <w:tc>
                <w:tcPr>
                  <w:cnfStyle w:val="001000000000"/>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rPr>
                      <w:b w:val="0"/>
                      <w:bCs w:val="0"/>
                    </w:rPr>
                  </w:pPr>
                  <w:r w:rsidRPr="00DA3ED5">
                    <w:t>9)</w:t>
                  </w:r>
                </w:p>
              </w:tc>
              <w:tc>
                <w:tcPr>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c</w:t>
                  </w:r>
                </w:p>
              </w:tc>
              <w:tc>
                <w:tcPr>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10)</w:t>
                  </w:r>
                </w:p>
              </w:tc>
              <w:tc>
                <w:tcPr>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b</w:t>
                  </w:r>
                </w:p>
              </w:tc>
              <w:tc>
                <w:tcPr>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11)</w:t>
                  </w:r>
                </w:p>
              </w:tc>
              <w:tc>
                <w:tcPr>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c</w:t>
                  </w:r>
                </w:p>
              </w:tc>
              <w:tc>
                <w:tcPr>
                  <w:tcW w:w="646"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12)</w:t>
                  </w:r>
                </w:p>
              </w:tc>
              <w:tc>
                <w:tcPr>
                  <w:tcW w:w="646"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rPr>
                  </w:pPr>
                  <w:r w:rsidRPr="00DA3ED5">
                    <w:rPr>
                      <w:rFonts w:asciiTheme="majorHAnsi" w:hAnsiTheme="majorHAnsi"/>
                      <w:b/>
                      <w:bCs/>
                    </w:rPr>
                    <w:t>d</w:t>
                  </w:r>
                </w:p>
              </w:tc>
            </w:tr>
            <w:tr w:rsidR="00DA3ED5" w:rsidRPr="00DA3ED5" w:rsidTr="00DA3ED5">
              <w:trPr>
                <w:cnfStyle w:val="000000010000"/>
              </w:trPr>
              <w:tc>
                <w:tcPr>
                  <w:cnfStyle w:val="001000000000"/>
                  <w:tcW w:w="645" w:type="dxa"/>
                </w:tcPr>
                <w:p w:rsidR="00DA3ED5" w:rsidRPr="00DA3ED5" w:rsidRDefault="00DA3ED5" w:rsidP="00536837">
                  <w:pPr>
                    <w:contextualSpacing/>
                    <w:jc w:val="center"/>
                    <w:rPr>
                      <w:b w:val="0"/>
                      <w:bCs w:val="0"/>
                    </w:rPr>
                  </w:pPr>
                  <w:r w:rsidRPr="00DA3ED5">
                    <w:t>13)</w:t>
                  </w:r>
                </w:p>
              </w:tc>
              <w:tc>
                <w:tcPr>
                  <w:tcW w:w="645" w:type="dxa"/>
                </w:tcPr>
                <w:p w:rsidR="00DA3ED5" w:rsidRPr="00DA3ED5" w:rsidRDefault="00DA3ED5" w:rsidP="00536837">
                  <w:pPr>
                    <w:contextualSpacing/>
                    <w:jc w:val="center"/>
                    <w:cnfStyle w:val="000000010000"/>
                    <w:rPr>
                      <w:rFonts w:asciiTheme="majorHAnsi" w:hAnsiTheme="majorHAnsi"/>
                      <w:b/>
                      <w:bCs/>
                    </w:rPr>
                  </w:pPr>
                  <w:r w:rsidRPr="00DA3ED5">
                    <w:rPr>
                      <w:rFonts w:asciiTheme="majorHAnsi" w:hAnsiTheme="majorHAnsi"/>
                      <w:b/>
                      <w:bCs/>
                    </w:rPr>
                    <w:t>d</w:t>
                  </w:r>
                </w:p>
              </w:tc>
              <w:tc>
                <w:tcPr>
                  <w:tcW w:w="645" w:type="dxa"/>
                </w:tcPr>
                <w:p w:rsidR="00DA3ED5" w:rsidRPr="00DA3ED5" w:rsidRDefault="00DA3ED5" w:rsidP="00536837">
                  <w:pPr>
                    <w:contextualSpacing/>
                    <w:jc w:val="center"/>
                    <w:cnfStyle w:val="000000010000"/>
                    <w:rPr>
                      <w:rFonts w:asciiTheme="majorHAnsi" w:hAnsiTheme="majorHAnsi"/>
                      <w:b/>
                      <w:bCs/>
                    </w:rPr>
                  </w:pPr>
                  <w:r w:rsidRPr="00DA3ED5">
                    <w:rPr>
                      <w:rFonts w:asciiTheme="majorHAnsi" w:hAnsiTheme="majorHAnsi"/>
                      <w:b/>
                      <w:bCs/>
                    </w:rPr>
                    <w:t>14)</w:t>
                  </w:r>
                </w:p>
              </w:tc>
              <w:tc>
                <w:tcPr>
                  <w:tcW w:w="645" w:type="dxa"/>
                </w:tcPr>
                <w:p w:rsidR="00DA3ED5" w:rsidRPr="00DA3ED5" w:rsidRDefault="00DA3ED5" w:rsidP="00536837">
                  <w:pPr>
                    <w:contextualSpacing/>
                    <w:jc w:val="center"/>
                    <w:cnfStyle w:val="000000010000"/>
                    <w:rPr>
                      <w:rFonts w:asciiTheme="majorHAnsi" w:hAnsiTheme="majorHAnsi"/>
                      <w:b/>
                      <w:bCs/>
                    </w:rPr>
                  </w:pPr>
                  <w:r w:rsidRPr="00DA3ED5">
                    <w:rPr>
                      <w:rFonts w:asciiTheme="majorHAnsi" w:hAnsiTheme="majorHAnsi"/>
                      <w:b/>
                      <w:bCs/>
                    </w:rPr>
                    <w:t>c</w:t>
                  </w:r>
                </w:p>
              </w:tc>
              <w:tc>
                <w:tcPr>
                  <w:tcW w:w="645" w:type="dxa"/>
                </w:tcPr>
                <w:p w:rsidR="00DA3ED5" w:rsidRPr="00DA3ED5" w:rsidRDefault="00DA3ED5" w:rsidP="00536837">
                  <w:pPr>
                    <w:contextualSpacing/>
                    <w:jc w:val="center"/>
                    <w:cnfStyle w:val="000000010000"/>
                    <w:rPr>
                      <w:rFonts w:asciiTheme="majorHAnsi" w:hAnsiTheme="majorHAnsi"/>
                      <w:b/>
                      <w:bCs/>
                    </w:rPr>
                  </w:pPr>
                  <w:r w:rsidRPr="00DA3ED5">
                    <w:rPr>
                      <w:rFonts w:asciiTheme="majorHAnsi" w:hAnsiTheme="majorHAnsi"/>
                      <w:b/>
                      <w:bCs/>
                    </w:rPr>
                    <w:t>15)</w:t>
                  </w:r>
                </w:p>
              </w:tc>
              <w:tc>
                <w:tcPr>
                  <w:tcW w:w="645" w:type="dxa"/>
                </w:tcPr>
                <w:p w:rsidR="00DA3ED5" w:rsidRPr="00DA3ED5" w:rsidRDefault="00DA3ED5" w:rsidP="00536837">
                  <w:pPr>
                    <w:contextualSpacing/>
                    <w:jc w:val="center"/>
                    <w:cnfStyle w:val="000000010000"/>
                    <w:rPr>
                      <w:rFonts w:asciiTheme="majorHAnsi" w:hAnsiTheme="majorHAnsi"/>
                      <w:b/>
                      <w:bCs/>
                    </w:rPr>
                  </w:pPr>
                  <w:r w:rsidRPr="00DA3ED5">
                    <w:rPr>
                      <w:rFonts w:asciiTheme="majorHAnsi" w:hAnsiTheme="majorHAnsi"/>
                      <w:b/>
                      <w:bCs/>
                    </w:rPr>
                    <w:t>b</w:t>
                  </w:r>
                </w:p>
              </w:tc>
              <w:tc>
                <w:tcPr>
                  <w:tcW w:w="646" w:type="dxa"/>
                </w:tcPr>
                <w:p w:rsidR="00DA3ED5" w:rsidRPr="00DA3ED5" w:rsidRDefault="00DA3ED5" w:rsidP="00536837">
                  <w:pPr>
                    <w:contextualSpacing/>
                    <w:jc w:val="center"/>
                    <w:cnfStyle w:val="000000010000"/>
                    <w:rPr>
                      <w:rFonts w:asciiTheme="majorHAnsi" w:hAnsiTheme="majorHAnsi"/>
                      <w:b/>
                      <w:bCs/>
                    </w:rPr>
                  </w:pPr>
                  <w:r w:rsidRPr="00DA3ED5">
                    <w:rPr>
                      <w:rFonts w:asciiTheme="majorHAnsi" w:hAnsiTheme="majorHAnsi"/>
                      <w:b/>
                      <w:bCs/>
                    </w:rPr>
                    <w:t>16)</w:t>
                  </w:r>
                </w:p>
              </w:tc>
              <w:tc>
                <w:tcPr>
                  <w:tcW w:w="646" w:type="dxa"/>
                </w:tcPr>
                <w:p w:rsidR="00DA3ED5" w:rsidRPr="00DA3ED5" w:rsidRDefault="00DA3ED5" w:rsidP="00536837">
                  <w:pPr>
                    <w:contextualSpacing/>
                    <w:jc w:val="center"/>
                    <w:cnfStyle w:val="000000010000"/>
                    <w:rPr>
                      <w:rFonts w:asciiTheme="majorHAnsi" w:hAnsiTheme="majorHAnsi"/>
                    </w:rPr>
                  </w:pPr>
                  <w:r w:rsidRPr="00DA3ED5">
                    <w:rPr>
                      <w:rFonts w:asciiTheme="majorHAnsi" w:hAnsiTheme="majorHAnsi"/>
                      <w:b/>
                      <w:bCs/>
                    </w:rPr>
                    <w:t>b</w:t>
                  </w:r>
                </w:p>
              </w:tc>
            </w:tr>
            <w:tr w:rsidR="00DA3ED5" w:rsidRPr="00DA3ED5" w:rsidTr="00DA3ED5">
              <w:trPr>
                <w:cnfStyle w:val="000000100000"/>
              </w:trPr>
              <w:tc>
                <w:tcPr>
                  <w:cnfStyle w:val="001000000000"/>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rPr>
                      <w:b w:val="0"/>
                      <w:bCs w:val="0"/>
                    </w:rPr>
                  </w:pPr>
                  <w:r w:rsidRPr="00DA3ED5">
                    <w:t>17)</w:t>
                  </w:r>
                </w:p>
              </w:tc>
              <w:tc>
                <w:tcPr>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d</w:t>
                  </w:r>
                </w:p>
              </w:tc>
              <w:tc>
                <w:tcPr>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18)</w:t>
                  </w:r>
                </w:p>
              </w:tc>
              <w:tc>
                <w:tcPr>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d</w:t>
                  </w:r>
                </w:p>
              </w:tc>
              <w:tc>
                <w:tcPr>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19)</w:t>
                  </w:r>
                </w:p>
              </w:tc>
              <w:tc>
                <w:tcPr>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d</w:t>
                  </w:r>
                </w:p>
              </w:tc>
              <w:tc>
                <w:tcPr>
                  <w:tcW w:w="646"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20)</w:t>
                  </w:r>
                </w:p>
              </w:tc>
              <w:tc>
                <w:tcPr>
                  <w:tcW w:w="646"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rPr>
                  </w:pPr>
                  <w:r w:rsidRPr="00DA3ED5">
                    <w:rPr>
                      <w:rFonts w:asciiTheme="majorHAnsi" w:hAnsiTheme="majorHAnsi"/>
                      <w:b/>
                      <w:bCs/>
                    </w:rPr>
                    <w:t>a</w:t>
                  </w:r>
                </w:p>
              </w:tc>
            </w:tr>
            <w:tr w:rsidR="00DA3ED5" w:rsidRPr="00DA3ED5" w:rsidTr="00DA3ED5">
              <w:trPr>
                <w:cnfStyle w:val="000000010000"/>
              </w:trPr>
              <w:tc>
                <w:tcPr>
                  <w:cnfStyle w:val="001000000000"/>
                  <w:tcW w:w="645" w:type="dxa"/>
                </w:tcPr>
                <w:p w:rsidR="00DA3ED5" w:rsidRPr="00DA3ED5" w:rsidRDefault="00DA3ED5" w:rsidP="00536837">
                  <w:pPr>
                    <w:contextualSpacing/>
                    <w:jc w:val="center"/>
                    <w:rPr>
                      <w:b w:val="0"/>
                      <w:bCs w:val="0"/>
                    </w:rPr>
                  </w:pPr>
                  <w:r w:rsidRPr="00DA3ED5">
                    <w:t>21)</w:t>
                  </w:r>
                </w:p>
              </w:tc>
              <w:tc>
                <w:tcPr>
                  <w:tcW w:w="645" w:type="dxa"/>
                </w:tcPr>
                <w:p w:rsidR="00DA3ED5" w:rsidRPr="00DA3ED5" w:rsidRDefault="00DA3ED5" w:rsidP="00536837">
                  <w:pPr>
                    <w:contextualSpacing/>
                    <w:jc w:val="center"/>
                    <w:cnfStyle w:val="000000010000"/>
                    <w:rPr>
                      <w:rFonts w:asciiTheme="majorHAnsi" w:hAnsiTheme="majorHAnsi"/>
                      <w:b/>
                      <w:bCs/>
                    </w:rPr>
                  </w:pPr>
                  <w:r w:rsidRPr="00DA3ED5">
                    <w:rPr>
                      <w:rFonts w:asciiTheme="majorHAnsi" w:hAnsiTheme="majorHAnsi"/>
                      <w:b/>
                      <w:bCs/>
                    </w:rPr>
                    <w:t>c</w:t>
                  </w:r>
                </w:p>
              </w:tc>
              <w:tc>
                <w:tcPr>
                  <w:tcW w:w="645" w:type="dxa"/>
                </w:tcPr>
                <w:p w:rsidR="00DA3ED5" w:rsidRPr="00DA3ED5" w:rsidRDefault="00DA3ED5" w:rsidP="00536837">
                  <w:pPr>
                    <w:contextualSpacing/>
                    <w:jc w:val="center"/>
                    <w:cnfStyle w:val="000000010000"/>
                    <w:rPr>
                      <w:rFonts w:asciiTheme="majorHAnsi" w:hAnsiTheme="majorHAnsi"/>
                      <w:b/>
                      <w:bCs/>
                    </w:rPr>
                  </w:pPr>
                  <w:r w:rsidRPr="00DA3ED5">
                    <w:rPr>
                      <w:rFonts w:asciiTheme="majorHAnsi" w:hAnsiTheme="majorHAnsi"/>
                      <w:b/>
                      <w:bCs/>
                    </w:rPr>
                    <w:t>22)</w:t>
                  </w:r>
                </w:p>
              </w:tc>
              <w:tc>
                <w:tcPr>
                  <w:tcW w:w="645" w:type="dxa"/>
                </w:tcPr>
                <w:p w:rsidR="00DA3ED5" w:rsidRPr="00DA3ED5" w:rsidRDefault="00DA3ED5" w:rsidP="00536837">
                  <w:pPr>
                    <w:contextualSpacing/>
                    <w:jc w:val="center"/>
                    <w:cnfStyle w:val="000000010000"/>
                    <w:rPr>
                      <w:rFonts w:asciiTheme="majorHAnsi" w:hAnsiTheme="majorHAnsi"/>
                      <w:b/>
                      <w:bCs/>
                    </w:rPr>
                  </w:pPr>
                  <w:r w:rsidRPr="00DA3ED5">
                    <w:rPr>
                      <w:rFonts w:asciiTheme="majorHAnsi" w:hAnsiTheme="majorHAnsi"/>
                      <w:b/>
                      <w:bCs/>
                    </w:rPr>
                    <w:t>b</w:t>
                  </w:r>
                </w:p>
              </w:tc>
              <w:tc>
                <w:tcPr>
                  <w:tcW w:w="645" w:type="dxa"/>
                </w:tcPr>
                <w:p w:rsidR="00DA3ED5" w:rsidRPr="00DA3ED5" w:rsidRDefault="00DA3ED5" w:rsidP="00536837">
                  <w:pPr>
                    <w:contextualSpacing/>
                    <w:jc w:val="center"/>
                    <w:cnfStyle w:val="000000010000"/>
                    <w:rPr>
                      <w:rFonts w:asciiTheme="majorHAnsi" w:hAnsiTheme="majorHAnsi"/>
                      <w:b/>
                      <w:bCs/>
                    </w:rPr>
                  </w:pPr>
                  <w:r w:rsidRPr="00DA3ED5">
                    <w:rPr>
                      <w:rFonts w:asciiTheme="majorHAnsi" w:hAnsiTheme="majorHAnsi"/>
                      <w:b/>
                      <w:bCs/>
                    </w:rPr>
                    <w:t>23)</w:t>
                  </w:r>
                </w:p>
              </w:tc>
              <w:tc>
                <w:tcPr>
                  <w:tcW w:w="645" w:type="dxa"/>
                </w:tcPr>
                <w:p w:rsidR="00DA3ED5" w:rsidRPr="00DA3ED5" w:rsidRDefault="00DA3ED5" w:rsidP="00536837">
                  <w:pPr>
                    <w:contextualSpacing/>
                    <w:jc w:val="center"/>
                    <w:cnfStyle w:val="000000010000"/>
                    <w:rPr>
                      <w:rFonts w:asciiTheme="majorHAnsi" w:hAnsiTheme="majorHAnsi"/>
                      <w:b/>
                      <w:bCs/>
                    </w:rPr>
                  </w:pPr>
                  <w:r w:rsidRPr="00DA3ED5">
                    <w:rPr>
                      <w:rFonts w:asciiTheme="majorHAnsi" w:hAnsiTheme="majorHAnsi"/>
                      <w:b/>
                      <w:bCs/>
                    </w:rPr>
                    <w:t>b</w:t>
                  </w:r>
                </w:p>
              </w:tc>
              <w:tc>
                <w:tcPr>
                  <w:tcW w:w="646" w:type="dxa"/>
                </w:tcPr>
                <w:p w:rsidR="00DA3ED5" w:rsidRPr="00DA3ED5" w:rsidRDefault="00DA3ED5" w:rsidP="00536837">
                  <w:pPr>
                    <w:contextualSpacing/>
                    <w:jc w:val="center"/>
                    <w:cnfStyle w:val="000000010000"/>
                    <w:rPr>
                      <w:rFonts w:asciiTheme="majorHAnsi" w:hAnsiTheme="majorHAnsi"/>
                      <w:b/>
                      <w:bCs/>
                    </w:rPr>
                  </w:pPr>
                  <w:r w:rsidRPr="00DA3ED5">
                    <w:rPr>
                      <w:rFonts w:asciiTheme="majorHAnsi" w:hAnsiTheme="majorHAnsi"/>
                      <w:b/>
                      <w:bCs/>
                    </w:rPr>
                    <w:t>24)</w:t>
                  </w:r>
                </w:p>
              </w:tc>
              <w:tc>
                <w:tcPr>
                  <w:tcW w:w="646" w:type="dxa"/>
                </w:tcPr>
                <w:p w:rsidR="00DA3ED5" w:rsidRPr="00DA3ED5" w:rsidRDefault="00DA3ED5" w:rsidP="00536837">
                  <w:pPr>
                    <w:contextualSpacing/>
                    <w:jc w:val="center"/>
                    <w:cnfStyle w:val="000000010000"/>
                    <w:rPr>
                      <w:rFonts w:asciiTheme="majorHAnsi" w:hAnsiTheme="majorHAnsi"/>
                    </w:rPr>
                  </w:pPr>
                  <w:r w:rsidRPr="00DA3ED5">
                    <w:rPr>
                      <w:rFonts w:asciiTheme="majorHAnsi" w:hAnsiTheme="majorHAnsi"/>
                      <w:b/>
                      <w:bCs/>
                    </w:rPr>
                    <w:t>c</w:t>
                  </w:r>
                </w:p>
              </w:tc>
            </w:tr>
            <w:tr w:rsidR="00DA3ED5" w:rsidRPr="00DA3ED5" w:rsidTr="00DA3ED5">
              <w:trPr>
                <w:cnfStyle w:val="000000100000"/>
              </w:trPr>
              <w:tc>
                <w:tcPr>
                  <w:cnfStyle w:val="001000000000"/>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rPr>
                      <w:b w:val="0"/>
                      <w:bCs w:val="0"/>
                    </w:rPr>
                  </w:pPr>
                  <w:r w:rsidRPr="00DA3ED5">
                    <w:t>25)</w:t>
                  </w:r>
                </w:p>
              </w:tc>
              <w:tc>
                <w:tcPr>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b</w:t>
                  </w:r>
                </w:p>
              </w:tc>
              <w:tc>
                <w:tcPr>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26)</w:t>
                  </w:r>
                </w:p>
              </w:tc>
              <w:tc>
                <w:tcPr>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c</w:t>
                  </w:r>
                </w:p>
              </w:tc>
              <w:tc>
                <w:tcPr>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27)</w:t>
                  </w:r>
                </w:p>
              </w:tc>
              <w:tc>
                <w:tcPr>
                  <w:tcW w:w="645"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a</w:t>
                  </w:r>
                </w:p>
              </w:tc>
              <w:tc>
                <w:tcPr>
                  <w:tcW w:w="646"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b/>
                      <w:bCs/>
                    </w:rPr>
                  </w:pPr>
                  <w:r w:rsidRPr="00DA3ED5">
                    <w:rPr>
                      <w:rFonts w:asciiTheme="majorHAnsi" w:hAnsiTheme="majorHAnsi"/>
                      <w:b/>
                      <w:bCs/>
                    </w:rPr>
                    <w:t>28)</w:t>
                  </w:r>
                </w:p>
              </w:tc>
              <w:tc>
                <w:tcPr>
                  <w:tcW w:w="646" w:type="dxa"/>
                  <w:tcBorders>
                    <w:top w:val="none" w:sz="0" w:space="0" w:color="auto"/>
                    <w:left w:val="none" w:sz="0" w:space="0" w:color="auto"/>
                    <w:bottom w:val="none" w:sz="0" w:space="0" w:color="auto"/>
                    <w:right w:val="none" w:sz="0" w:space="0" w:color="auto"/>
                  </w:tcBorders>
                </w:tcPr>
                <w:p w:rsidR="00DA3ED5" w:rsidRPr="00DA3ED5" w:rsidRDefault="00DA3ED5" w:rsidP="00536837">
                  <w:pPr>
                    <w:contextualSpacing/>
                    <w:jc w:val="center"/>
                    <w:cnfStyle w:val="000000100000"/>
                    <w:rPr>
                      <w:rFonts w:asciiTheme="majorHAnsi" w:hAnsiTheme="majorHAnsi"/>
                    </w:rPr>
                  </w:pPr>
                  <w:r w:rsidRPr="00DA3ED5">
                    <w:rPr>
                      <w:rFonts w:asciiTheme="majorHAnsi" w:hAnsiTheme="majorHAnsi"/>
                      <w:b/>
                      <w:bCs/>
                    </w:rPr>
                    <w:t>c</w:t>
                  </w:r>
                </w:p>
              </w:tc>
            </w:tr>
            <w:tr w:rsidR="00DA3ED5" w:rsidRPr="00DA3ED5" w:rsidTr="00DA3ED5">
              <w:trPr>
                <w:cnfStyle w:val="000000010000"/>
              </w:trPr>
              <w:tc>
                <w:tcPr>
                  <w:cnfStyle w:val="001000000000"/>
                  <w:tcW w:w="645" w:type="dxa"/>
                </w:tcPr>
                <w:p w:rsidR="00DA3ED5" w:rsidRPr="00DA3ED5" w:rsidRDefault="00DA3ED5" w:rsidP="00536837">
                  <w:pPr>
                    <w:contextualSpacing/>
                    <w:jc w:val="center"/>
                    <w:rPr>
                      <w:b w:val="0"/>
                      <w:bCs w:val="0"/>
                    </w:rPr>
                  </w:pPr>
                  <w:r w:rsidRPr="00DA3ED5">
                    <w:t>29)</w:t>
                  </w:r>
                </w:p>
              </w:tc>
              <w:tc>
                <w:tcPr>
                  <w:tcW w:w="645" w:type="dxa"/>
                </w:tcPr>
                <w:p w:rsidR="00DA3ED5" w:rsidRPr="00DA3ED5" w:rsidRDefault="00DA3ED5" w:rsidP="00536837">
                  <w:pPr>
                    <w:contextualSpacing/>
                    <w:jc w:val="center"/>
                    <w:cnfStyle w:val="000000010000"/>
                    <w:rPr>
                      <w:rFonts w:asciiTheme="majorHAnsi" w:hAnsiTheme="majorHAnsi"/>
                      <w:b/>
                      <w:bCs/>
                    </w:rPr>
                  </w:pPr>
                  <w:r w:rsidRPr="00DA3ED5">
                    <w:rPr>
                      <w:rFonts w:asciiTheme="majorHAnsi" w:hAnsiTheme="majorHAnsi"/>
                      <w:b/>
                      <w:bCs/>
                    </w:rPr>
                    <w:t>c</w:t>
                  </w:r>
                </w:p>
              </w:tc>
              <w:tc>
                <w:tcPr>
                  <w:tcW w:w="645" w:type="dxa"/>
                </w:tcPr>
                <w:p w:rsidR="00DA3ED5" w:rsidRPr="00DA3ED5" w:rsidRDefault="00DA3ED5" w:rsidP="00536837">
                  <w:pPr>
                    <w:contextualSpacing/>
                    <w:jc w:val="center"/>
                    <w:cnfStyle w:val="000000010000"/>
                    <w:rPr>
                      <w:rFonts w:asciiTheme="majorHAnsi" w:hAnsiTheme="majorHAnsi"/>
                      <w:b/>
                      <w:bCs/>
                    </w:rPr>
                  </w:pPr>
                  <w:r w:rsidRPr="00DA3ED5">
                    <w:rPr>
                      <w:rFonts w:asciiTheme="majorHAnsi" w:hAnsiTheme="majorHAnsi"/>
                      <w:b/>
                      <w:bCs/>
                    </w:rPr>
                    <w:t>30)</w:t>
                  </w:r>
                </w:p>
              </w:tc>
              <w:tc>
                <w:tcPr>
                  <w:tcW w:w="645" w:type="dxa"/>
                </w:tcPr>
                <w:p w:rsidR="00DA3ED5" w:rsidRPr="00DA3ED5" w:rsidRDefault="00DA3ED5" w:rsidP="00536837">
                  <w:pPr>
                    <w:contextualSpacing/>
                    <w:jc w:val="center"/>
                    <w:cnfStyle w:val="000000010000"/>
                    <w:rPr>
                      <w:rFonts w:asciiTheme="majorHAnsi" w:hAnsiTheme="majorHAnsi"/>
                    </w:rPr>
                  </w:pPr>
                  <w:r w:rsidRPr="00DA3ED5">
                    <w:rPr>
                      <w:rFonts w:asciiTheme="majorHAnsi" w:hAnsiTheme="majorHAnsi"/>
                      <w:b/>
                      <w:bCs/>
                    </w:rPr>
                    <w:t>c</w:t>
                  </w:r>
                </w:p>
              </w:tc>
              <w:tc>
                <w:tcPr>
                  <w:tcW w:w="645" w:type="dxa"/>
                </w:tcPr>
                <w:p w:rsidR="00DA3ED5" w:rsidRPr="00DA3ED5" w:rsidRDefault="00DA3ED5" w:rsidP="00536837">
                  <w:pPr>
                    <w:contextualSpacing/>
                    <w:jc w:val="center"/>
                    <w:cnfStyle w:val="000000010000"/>
                    <w:rPr>
                      <w:rFonts w:asciiTheme="majorHAnsi" w:hAnsiTheme="majorHAnsi"/>
                    </w:rPr>
                  </w:pPr>
                </w:p>
              </w:tc>
              <w:tc>
                <w:tcPr>
                  <w:tcW w:w="645" w:type="dxa"/>
                </w:tcPr>
                <w:p w:rsidR="00DA3ED5" w:rsidRPr="00DA3ED5" w:rsidRDefault="00DA3ED5" w:rsidP="00536837">
                  <w:pPr>
                    <w:contextualSpacing/>
                    <w:jc w:val="center"/>
                    <w:cnfStyle w:val="000000010000"/>
                    <w:rPr>
                      <w:rFonts w:asciiTheme="majorHAnsi" w:hAnsiTheme="majorHAnsi"/>
                    </w:rPr>
                  </w:pPr>
                </w:p>
              </w:tc>
              <w:tc>
                <w:tcPr>
                  <w:tcW w:w="646" w:type="dxa"/>
                </w:tcPr>
                <w:p w:rsidR="00DA3ED5" w:rsidRPr="00DA3ED5" w:rsidRDefault="00DA3ED5" w:rsidP="00536837">
                  <w:pPr>
                    <w:contextualSpacing/>
                    <w:jc w:val="center"/>
                    <w:cnfStyle w:val="000000010000"/>
                    <w:rPr>
                      <w:rFonts w:asciiTheme="majorHAnsi" w:hAnsiTheme="majorHAnsi"/>
                    </w:rPr>
                  </w:pPr>
                </w:p>
              </w:tc>
              <w:tc>
                <w:tcPr>
                  <w:tcW w:w="646" w:type="dxa"/>
                </w:tcPr>
                <w:p w:rsidR="00DA3ED5" w:rsidRPr="00DA3ED5" w:rsidRDefault="00DA3ED5" w:rsidP="00536837">
                  <w:pPr>
                    <w:contextualSpacing/>
                    <w:jc w:val="center"/>
                    <w:cnfStyle w:val="000000010000"/>
                    <w:rPr>
                      <w:rFonts w:asciiTheme="majorHAnsi" w:hAnsiTheme="majorHAnsi"/>
                    </w:rPr>
                  </w:pPr>
                </w:p>
              </w:tc>
            </w:tr>
          </w:tbl>
          <w:p w:rsidR="00DA3ED5" w:rsidRDefault="00DA3ED5" w:rsidP="000255E8">
            <w:pPr>
              <w:contextualSpacing/>
              <w:rPr>
                <w:rFonts w:asciiTheme="majorHAnsi" w:hAnsiTheme="majorHAnsi"/>
                <w:sz w:val="2"/>
              </w:rPr>
            </w:pPr>
          </w:p>
          <w:p w:rsidR="007A29EA" w:rsidRPr="00DA3ED5" w:rsidRDefault="00DA3ED5" w:rsidP="00DA3ED5">
            <w:pPr>
              <w:tabs>
                <w:tab w:val="left" w:pos="3783"/>
              </w:tabs>
              <w:rPr>
                <w:rFonts w:asciiTheme="majorHAnsi" w:hAnsiTheme="majorHAnsi"/>
                <w:sz w:val="2"/>
              </w:rPr>
            </w:pPr>
            <w:r>
              <w:rPr>
                <w:rFonts w:asciiTheme="majorHAnsi" w:hAnsiTheme="majorHAnsi"/>
                <w:sz w:val="2"/>
              </w:rPr>
              <w:tab/>
            </w:r>
          </w:p>
        </w:tc>
      </w:tr>
      <w:tr w:rsidR="003571A3" w:rsidRPr="0076457D" w:rsidTr="001118DC">
        <w:trPr>
          <w:gridAfter w:val="1"/>
          <w:wAfter w:w="113" w:type="pct"/>
        </w:trPr>
        <w:tc>
          <w:tcPr>
            <w:tcW w:w="4887" w:type="pct"/>
            <w:gridSpan w:val="2"/>
            <w:shd w:val="clear" w:color="auto" w:fill="000000" w:themeFill="text1"/>
            <w:tcMar>
              <w:left w:w="0" w:type="dxa"/>
              <w:right w:w="0" w:type="dxa"/>
            </w:tcMar>
          </w:tcPr>
          <w:p w:rsidR="003571A3" w:rsidRPr="0076457D" w:rsidRDefault="003571A3" w:rsidP="001118DC">
            <w:pPr>
              <w:contextualSpacing/>
              <w:jc w:val="center"/>
              <w:rPr>
                <w:rFonts w:asciiTheme="majorHAnsi" w:eastAsiaTheme="minorEastAsia" w:hAnsiTheme="majorHAnsi"/>
              </w:rPr>
            </w:pPr>
            <w:r>
              <w:rPr>
                <w:rFonts w:asciiTheme="majorHAnsi" w:hAnsiTheme="majorHAnsi"/>
                <w:b/>
                <w:bCs/>
                <w:color w:val="FFFFFF" w:themeColor="background1"/>
                <w:sz w:val="32"/>
                <w:szCs w:val="32"/>
              </w:rPr>
              <w:t>: HINTS AND SOLUTIONS :</w:t>
            </w:r>
          </w:p>
        </w:tc>
      </w:tr>
      <w:tr w:rsidR="003571A3" w:rsidRPr="009B1F10" w:rsidTr="001118DC">
        <w:trPr>
          <w:gridAfter w:val="2"/>
          <w:wAfter w:w="4560" w:type="pct"/>
        </w:trPr>
        <w:tc>
          <w:tcPr>
            <w:tcW w:w="440" w:type="pct"/>
            <w:tcMar>
              <w:left w:w="0" w:type="dxa"/>
              <w:right w:w="0" w:type="dxa"/>
            </w:tcMar>
          </w:tcPr>
          <w:p w:rsidR="003571A3" w:rsidRPr="009B1F10" w:rsidRDefault="003571A3" w:rsidP="001118DC">
            <w:pPr>
              <w:contextualSpacing/>
              <w:rPr>
                <w:rFonts w:ascii="Algerian" w:hAnsi="Algerian"/>
              </w:rPr>
            </w:pPr>
          </w:p>
        </w:tc>
      </w:tr>
    </w:tbl>
    <w:p w:rsidR="007A29EA" w:rsidRPr="005F787C" w:rsidRDefault="007A29EA" w:rsidP="007A29EA">
      <w:pPr>
        <w:spacing w:line="240" w:lineRule="auto"/>
        <w:contextualSpacing/>
        <w:jc w:val="center"/>
        <w:rPr>
          <w:rFonts w:asciiTheme="majorHAnsi" w:hAnsiTheme="majorHAnsi"/>
        </w:rPr>
      </w:pPr>
    </w:p>
    <w:tbl>
      <w:tblPr>
        <w:tblW w:w="5000" w:type="pct"/>
        <w:tblLayout w:type="fixed"/>
        <w:tblLook w:val="04A0"/>
      </w:tblPr>
      <w:tblGrid>
        <w:gridCol w:w="942"/>
        <w:gridCol w:w="9768"/>
      </w:tblGrid>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1</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(d)</w:t>
            </w:r>
          </w:p>
          <w:p w:rsidR="007A29EA" w:rsidRPr="00A0619B" w:rsidRDefault="007A29EA" w:rsidP="000255E8">
            <w:pPr>
              <w:contextualSpacing/>
              <w:rPr>
                <w:rFonts w:ascii="Cambria Math" w:hAnsi="Cambria Math"/>
              </w:rPr>
            </w:pPr>
            <w:r w:rsidRPr="00A0619B">
              <w:rPr>
                <w:rFonts w:ascii="Cambria Math" w:hAnsi="Cambria Math"/>
              </w:rPr>
              <w:t>Born-Haber cycle inter-relates the various energy terms involved in ionic bonding.</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2</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(c)</w:t>
            </w:r>
          </w:p>
          <w:p w:rsidR="007A29EA" w:rsidRPr="00A0619B" w:rsidRDefault="007A29EA" w:rsidP="000255E8">
            <w:pPr>
              <w:contextualSpacing/>
              <w:rPr>
                <w:rFonts w:ascii="Cambria Math" w:hAnsi="Cambria Math"/>
              </w:rPr>
            </w:pPr>
            <w:r w:rsidRPr="00A0619B">
              <w:rPr>
                <w:rFonts w:ascii="Cambria Math" w:hAnsi="Cambria Math"/>
              </w:rPr>
              <w:t>Follow bonding rules.</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3</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(b)</w:t>
            </w:r>
          </w:p>
          <w:p w:rsidR="007A29EA" w:rsidRPr="00A0619B" w:rsidRDefault="00DA3ED5" w:rsidP="000255E8">
            <w:pPr>
              <w:contextualSpacing/>
              <w:rPr>
                <w:rFonts w:ascii="Cambria Math" w:hAnsi="Cambria Math"/>
              </w:rPr>
            </w:pPr>
            <m:oMath>
              <m:r>
                <m:rPr>
                  <m:sty m:val="p"/>
                </m:rPr>
                <w:rPr>
                  <w:rFonts w:ascii="Cambria Math" w:hAnsi="Cambria Math"/>
                </w:rPr>
                <m:t>Alkali</m:t>
              </m:r>
            </m:oMath>
            <w:r w:rsidR="007A29EA" w:rsidRPr="00A0619B">
              <w:rPr>
                <w:rFonts w:ascii="Cambria Math" w:hAnsi="Cambria Math"/>
              </w:rPr>
              <w:t>metals are most electropositive elements.</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4</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(b)</w:t>
            </w:r>
          </w:p>
          <w:p w:rsidR="007A29EA" w:rsidRPr="00A0619B" w:rsidRDefault="007A29EA" w:rsidP="000255E8">
            <w:pPr>
              <w:contextualSpacing/>
              <w:rPr>
                <w:rFonts w:ascii="Cambria Math" w:hAnsi="Cambria Math"/>
              </w:rPr>
            </w:pPr>
            <w:r w:rsidRPr="00A0619B">
              <w:rPr>
                <w:rFonts w:ascii="Cambria Math" w:hAnsi="Cambria Math"/>
              </w:rPr>
              <w:t xml:space="preserve">In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O,H</m:t>
              </m:r>
            </m:oMath>
            <w:r w:rsidRPr="00A0619B">
              <w:rPr>
                <w:rFonts w:ascii="Cambria Math" w:hAnsi="Cambria Math"/>
              </w:rPr>
              <w:t>-atom contains only two electrons.</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5</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(b)</w:t>
            </w:r>
          </w:p>
          <w:p w:rsidR="007A29EA" w:rsidRPr="00A32310" w:rsidRDefault="007A29EA" w:rsidP="000255E8">
            <w:pPr>
              <w:contextualSpacing/>
              <w:rPr>
                <w:rFonts w:ascii="Cambria Math" w:hAnsi="Cambria Math"/>
              </w:rPr>
            </w:pPr>
            <w:r>
              <w:rPr>
                <w:rFonts w:ascii="Cambria Math" w:hAnsi="Cambria Math"/>
              </w:rPr>
              <w:t>Fluorine is more reactive than chlorine, bromine and iodine</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6</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(b)</w:t>
            </w:r>
          </w:p>
          <w:p w:rsidR="007A29EA" w:rsidRPr="00A0619B" w:rsidRDefault="007A29EA" w:rsidP="000255E8">
            <w:pPr>
              <w:contextualSpacing/>
              <w:rPr>
                <w:rFonts w:ascii="Cambria Math" w:hAnsi="Cambria Math"/>
              </w:rPr>
            </w:pPr>
            <w:r w:rsidRPr="00A0619B">
              <w:rPr>
                <w:rFonts w:ascii="Cambria Math" w:hAnsi="Cambria Math"/>
              </w:rPr>
              <w:t xml:space="preserve">Due to H-bonding in </w:t>
            </w:r>
            <m:oMath>
              <m:sSub>
                <m:sSubPr>
                  <m:ctrlPr>
                    <w:rPr>
                      <w:rFonts w:ascii="Cambria Math" w:hAnsi="Cambria Math"/>
                    </w:rPr>
                  </m:ctrlPr>
                </m:sSubPr>
                <m:e>
                  <m:r>
                    <m:rPr>
                      <m:sty m:val="p"/>
                    </m:rPr>
                    <w:rPr>
                      <w:rFonts w:ascii="Cambria Math" w:hAnsi="Cambria Math"/>
                    </w:rPr>
                    <m:t>NH</m:t>
                  </m:r>
                </m:e>
                <m:sub>
                  <m:r>
                    <m:rPr>
                      <m:sty m:val="p"/>
                    </m:rPr>
                    <w:rPr>
                      <w:rFonts w:ascii="Cambria Math" w:hAnsi="Cambria Math"/>
                    </w:rPr>
                    <m:t>3</m:t>
                  </m:r>
                </m:sub>
              </m:sSub>
            </m:oMath>
            <w:r w:rsidRPr="00A0619B">
              <w:rPr>
                <w:rFonts w:ascii="Cambria Math" w:hAnsi="Cambria Math"/>
              </w:rPr>
              <w:t>.</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7</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(d)</w:t>
            </w:r>
          </w:p>
          <w:p w:rsidR="007A29EA" w:rsidRPr="00A0619B" w:rsidRDefault="007A29EA" w:rsidP="000255E8">
            <w:pPr>
              <w:contextualSpacing/>
              <w:rPr>
                <w:rFonts w:ascii="Cambria Math" w:hAnsi="Cambria Math"/>
              </w:rPr>
            </w:pPr>
            <w:r w:rsidRPr="00A0619B">
              <w:rPr>
                <w:rFonts w:ascii="Cambria Math" w:hAnsi="Cambria Math"/>
              </w:rPr>
              <w:t xml:space="preserve">The order of screening effect for a given shell electrons is </w:t>
            </w:r>
            <m:oMath>
              <m:r>
                <w:rPr>
                  <w:rFonts w:ascii="Cambria Math" w:hAnsi="Cambria Math"/>
                </w:rPr>
                <m:t>s&gt;p&gt;d&gt;f</m:t>
              </m:r>
            </m:oMath>
            <w:r w:rsidRPr="00A0619B">
              <w:rPr>
                <w:rFonts w:ascii="Cambria Math" w:hAnsi="Cambria Math"/>
              </w:rPr>
              <w:t>.</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8</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(a)</w:t>
            </w:r>
          </w:p>
          <w:p w:rsidR="007A29EA" w:rsidRPr="00A0619B" w:rsidRDefault="007A29EA" w:rsidP="000255E8">
            <w:pPr>
              <w:contextualSpacing/>
              <w:rPr>
                <w:rFonts w:ascii="Cambria Math" w:hAnsi="Cambria Math"/>
              </w:rPr>
            </w:pPr>
            <w:r w:rsidRPr="00A0619B">
              <w:rPr>
                <w:rFonts w:ascii="Cambria Math" w:hAnsi="Cambria Math"/>
              </w:rPr>
              <w:t>The ionisation energy of elements decreases down the group.</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9</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(c)</w:t>
            </w:r>
          </w:p>
          <w:p w:rsidR="007A29EA" w:rsidRPr="00A0619B" w:rsidRDefault="00DA3ED5" w:rsidP="000255E8">
            <w:pPr>
              <w:contextualSpacing/>
              <w:jc w:val="both"/>
              <w:rPr>
                <w:rFonts w:ascii="Cambria Math" w:hAnsi="Cambria Math"/>
              </w:rPr>
            </w:pPr>
            <m:oMath>
              <m:r>
                <m:rPr>
                  <m:sty m:val="p"/>
                </m:rPr>
                <w:rPr>
                  <w:rFonts w:ascii="Cambria Math" w:hAnsi="Cambria Math"/>
                </w:rPr>
                <m:t>Cl</m:t>
              </m:r>
            </m:oMath>
            <w:r w:rsidR="007A29EA" w:rsidRPr="00A0619B">
              <w:rPr>
                <w:rFonts w:ascii="Cambria Math" w:hAnsi="Cambria Math"/>
              </w:rPr>
              <w:t xml:space="preserve"> in </w:t>
            </w:r>
            <m:oMath>
              <m:sSub>
                <m:sSubPr>
                  <m:ctrlPr>
                    <w:rPr>
                      <w:rFonts w:ascii="Cambria Math" w:hAnsi="Cambria Math"/>
                    </w:rPr>
                  </m:ctrlPr>
                </m:sSubPr>
                <m:e>
                  <m:r>
                    <m:rPr>
                      <m:sty m:val="p"/>
                    </m:rPr>
                    <w:rPr>
                      <w:rFonts w:ascii="Cambria Math" w:hAnsi="Cambria Math"/>
                    </w:rPr>
                    <m:t>ClF</m:t>
                  </m:r>
                </m:e>
                <m:sub>
                  <m:r>
                    <m:rPr>
                      <m:sty m:val="p"/>
                    </m:rPr>
                    <w:rPr>
                      <w:rFonts w:ascii="Cambria Math" w:hAnsi="Cambria Math"/>
                    </w:rPr>
                    <m:t>3</m:t>
                  </m:r>
                </m:sub>
              </m:sSub>
            </m:oMath>
            <w:r w:rsidR="007A29EA" w:rsidRPr="00A0619B">
              <w:rPr>
                <w:rFonts w:ascii="Cambria Math" w:hAnsi="Cambria Math"/>
              </w:rPr>
              <w:t xml:space="preserve"> has </w:t>
            </w:r>
            <m:oMath>
              <m:r>
                <w:rPr>
                  <w:rFonts w:ascii="Cambria Math" w:hAnsi="Cambria Math"/>
                </w:rPr>
                <m:t>s</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d</m:t>
              </m:r>
            </m:oMath>
            <w:r w:rsidR="007A29EA" w:rsidRPr="00A0619B">
              <w:rPr>
                <w:rFonts w:ascii="Cambria Math" w:hAnsi="Cambria Math"/>
              </w:rPr>
              <w:t xml:space="preserve">-hybridization </w:t>
            </w:r>
          </w:p>
          <w:p w:rsidR="007A29EA" w:rsidRPr="00A0619B" w:rsidRDefault="007A29EA" w:rsidP="000255E8">
            <w:pPr>
              <w:contextualSpacing/>
              <w:jc w:val="center"/>
              <w:rPr>
                <w:rFonts w:ascii="Cambria Math" w:hAnsi="Cambria Math"/>
              </w:rPr>
            </w:pPr>
            <w:r w:rsidRPr="00A0619B">
              <w:rPr>
                <w:rFonts w:ascii="Cambria Math" w:hAnsi="Cambria Math"/>
              </w:rPr>
              <w:object w:dxaOrig="1185" w:dyaOrig="1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5pt;height:1in" o:ole="">
                  <v:imagedata r:id="rId8" o:title=""/>
                </v:shape>
                <o:OLEObject Type="Embed" ProgID="ChemDraw.Document.6.0" ShapeID="_x0000_i1025" DrawAspect="Content" ObjectID="_1648728962" r:id="rId9"/>
              </w:object>
            </w:r>
          </w:p>
          <w:p w:rsidR="007A29EA" w:rsidRPr="00A0619B" w:rsidRDefault="007A29EA" w:rsidP="000255E8">
            <w:pPr>
              <w:contextualSpacing/>
              <w:rPr>
                <w:rFonts w:ascii="Cambria Math" w:hAnsi="Cambria Math"/>
              </w:rPr>
            </w:pPr>
            <w:r w:rsidRPr="00A0619B">
              <w:rPr>
                <w:rFonts w:ascii="Cambria Math" w:hAnsi="Cambria Math"/>
              </w:rPr>
              <w:t xml:space="preserve">and possesses two axial </w:t>
            </w:r>
            <m:oMath>
              <m:r>
                <m:rPr>
                  <m:sty m:val="p"/>
                </m:rPr>
                <w:rPr>
                  <w:rFonts w:ascii="Cambria Math" w:hAnsi="Cambria Math"/>
                </w:rPr>
                <m:t>Cl—F</m:t>
              </m:r>
            </m:oMath>
            <w:r w:rsidRPr="00A0619B">
              <w:rPr>
                <w:rFonts w:ascii="Cambria Math" w:hAnsi="Cambria Math"/>
              </w:rPr>
              <w:t xml:space="preserve">bonds and one equatorial bond Two lone pairs are at equatorial position give rise to bent ‘T’ shape to </w:t>
            </w:r>
            <m:oMath>
              <m:r>
                <m:rPr>
                  <m:sty m:val="p"/>
                </m:rPr>
                <w:rPr>
                  <w:rFonts w:ascii="Cambria Math" w:hAnsi="Cambria Math"/>
                </w:rPr>
                <m:t>Cl</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3</m:t>
                  </m:r>
                </m:sub>
              </m:sSub>
            </m:oMath>
            <w:r w:rsidRPr="00A0619B">
              <w:rPr>
                <w:rFonts w:ascii="Cambria Math" w:hAnsi="Cambria Math"/>
              </w:rPr>
              <w:t>.</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10</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(b)</w:t>
            </w:r>
          </w:p>
          <w:p w:rsidR="007A29EA" w:rsidRPr="00A0619B" w:rsidRDefault="007A29EA" w:rsidP="000255E8">
            <w:pPr>
              <w:contextualSpacing/>
              <w:rPr>
                <w:rFonts w:ascii="Cambria Math" w:hAnsi="Cambria Math"/>
              </w:rPr>
            </w:pPr>
            <w:r w:rsidRPr="00A0619B">
              <w:rPr>
                <w:rFonts w:ascii="Cambria Math" w:hAnsi="Cambria Math"/>
              </w:rPr>
              <w:t>In like atoms, electronegativity difference is zero.</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11</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(c)</w:t>
            </w:r>
          </w:p>
          <w:p w:rsidR="007A29EA" w:rsidRPr="00A0619B" w:rsidRDefault="00F92644" w:rsidP="000255E8">
            <w:pPr>
              <w:contextualSpacing/>
              <w:rPr>
                <w:rFonts w:ascii="Cambria Math" w:hAnsi="Cambria Math"/>
              </w:rPr>
            </w:pP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007A29EA" w:rsidRPr="00A0619B">
              <w:rPr>
                <w:rFonts w:ascii="Cambria Math" w:hAnsi="Cambria Math"/>
              </w:rPr>
              <w:t xml:space="preserve">molecule is paramagnetic like </w:t>
            </w:r>
            <m:oMath>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7A29EA" w:rsidRPr="00A0619B">
              <w:rPr>
                <w:rFonts w:ascii="Cambria Math" w:hAnsi="Cambria Math"/>
              </w:rPr>
              <w:t xml:space="preserve"> having 2 unpaired electrons.</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13</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(d)</w:t>
            </w:r>
          </w:p>
          <w:p w:rsidR="007A29EA" w:rsidRPr="00A32310" w:rsidRDefault="007A29EA" w:rsidP="000255E8">
            <w:pPr>
              <w:contextualSpacing/>
              <w:rPr>
                <w:rFonts w:ascii="Cambria Math" w:hAnsi="Cambria Math"/>
              </w:rPr>
            </w:pPr>
            <w:r>
              <w:rPr>
                <w:rFonts w:ascii="Cambria Math" w:hAnsi="Cambria Math"/>
              </w:rPr>
              <w:t>Along the period acidic strength of oxide increases</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14</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(c)</w:t>
            </w:r>
          </w:p>
          <w:p w:rsidR="007A29EA" w:rsidRPr="00A32310" w:rsidRDefault="007A29EA" w:rsidP="000255E8">
            <w:pPr>
              <w:contextualSpacing/>
              <w:rPr>
                <w:rFonts w:ascii="Cambria Math" w:hAnsi="Cambria Math"/>
              </w:rPr>
            </w:pPr>
            <w:r>
              <w:rPr>
                <w:rFonts w:ascii="Cambria Math" w:hAnsi="Cambria Math"/>
              </w:rPr>
              <w:t>In order to belong with the same family, the outer configuration must be the same</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lastRenderedPageBreak/>
              <w:t>15</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(b)</w:t>
            </w:r>
          </w:p>
          <w:p w:rsidR="007A29EA" w:rsidRDefault="00F92644" w:rsidP="000255E8">
            <w:pPr>
              <w:contextualSpacing/>
              <w:rPr>
                <w:rFonts w:ascii="Cambria Math" w:hAnsi="Cambria Math"/>
              </w:rPr>
            </w:pPr>
            <m:oMath>
              <m:sSup>
                <m:sSupPr>
                  <m:ctrlPr>
                    <w:rPr>
                      <w:rFonts w:ascii="Cambria Math" w:hAnsi="Cambria Math"/>
                    </w:rPr>
                  </m:ctrlPr>
                </m:sSupPr>
                <m:e>
                  <m:r>
                    <m:rPr>
                      <m:sty m:val="p"/>
                    </m:rPr>
                    <w:rPr>
                      <w:rFonts w:ascii="Cambria Math" w:hAnsi="Cambria Math"/>
                    </w:rPr>
                    <m:t>Mn</m:t>
                  </m:r>
                </m:e>
                <m:sup>
                  <m:r>
                    <w:rPr>
                      <w:rFonts w:ascii="Cambria Math" w:hAnsi="Cambria Math"/>
                    </w:rPr>
                    <m:t>2+</m:t>
                  </m:r>
                </m:sup>
              </m:sSup>
            </m:oMath>
            <w:r w:rsidR="007A29EA" w:rsidRPr="00A0619B">
              <w:rPr>
                <w:rFonts w:ascii="Cambria Math" w:hAnsi="Cambria Math"/>
              </w:rPr>
              <w:t xml:space="preserve">is most stable as it has half filled </w:t>
            </w:r>
            <m:oMath>
              <m:r>
                <w:rPr>
                  <w:rFonts w:ascii="Cambria Math" w:hAnsi="Cambria Math"/>
                </w:rPr>
                <m:t>d</m:t>
              </m:r>
            </m:oMath>
            <w:r w:rsidR="007A29EA" w:rsidRPr="00A0619B">
              <w:rPr>
                <w:rFonts w:ascii="Cambria Math" w:hAnsi="Cambria Math"/>
              </w:rPr>
              <w:t>-orbitals.</w:t>
            </w:r>
          </w:p>
          <w:p w:rsidR="00DA3ED5" w:rsidRDefault="00DA3ED5" w:rsidP="000255E8">
            <w:pPr>
              <w:contextualSpacing/>
              <w:rPr>
                <w:rFonts w:ascii="Cambria Math" w:hAnsi="Cambria Math"/>
              </w:rPr>
            </w:pPr>
          </w:p>
          <w:p w:rsidR="00DA3ED5" w:rsidRPr="00A0619B" w:rsidRDefault="00DA3ED5" w:rsidP="000255E8">
            <w:pPr>
              <w:contextualSpacing/>
              <w:rPr>
                <w:rFonts w:ascii="Cambria Math" w:hAnsi="Cambria Math"/>
              </w:rPr>
            </w:pP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16</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(b)</w:t>
            </w:r>
          </w:p>
          <w:p w:rsidR="007A29EA" w:rsidRPr="00A0619B" w:rsidRDefault="007A29EA" w:rsidP="000255E8">
            <w:pPr>
              <w:contextualSpacing/>
              <w:rPr>
                <w:rFonts w:ascii="Cambria Math" w:hAnsi="Cambria Math"/>
              </w:rPr>
            </w:pPr>
            <w:r w:rsidRPr="00A0619B">
              <w:rPr>
                <w:rFonts w:ascii="Cambria Math" w:hAnsi="Cambria Math"/>
              </w:rPr>
              <w:t>The atomic radius decreases along the period. Also cations are always smaller than their parent atom and anions are always larger than their parent atom .</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17</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(d)</w:t>
            </w:r>
          </w:p>
          <w:p w:rsidR="007A29EA" w:rsidRPr="00A0619B" w:rsidRDefault="00DA3ED5" w:rsidP="000255E8">
            <w:pPr>
              <w:contextualSpacing/>
              <w:rPr>
                <w:rFonts w:ascii="Cambria Math" w:hAnsi="Cambria Math"/>
              </w:rPr>
            </w:pPr>
            <m:oMath>
              <m:r>
                <m:rPr>
                  <m:sty m:val="p"/>
                </m:rPr>
                <w:rPr>
                  <w:rFonts w:ascii="Cambria Math" w:hAnsi="Cambria Math"/>
                </w:rPr>
                <m:t>S=C=S</m:t>
              </m:r>
            </m:oMath>
            <w:r w:rsidR="007A29EA" w:rsidRPr="00A0619B">
              <w:rPr>
                <w:rFonts w:ascii="Cambria Math" w:hAnsi="Cambria Math"/>
              </w:rPr>
              <w:t xml:space="preserve"> .</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18</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(d)</w:t>
            </w:r>
          </w:p>
          <w:p w:rsidR="007A29EA" w:rsidRPr="00A0619B" w:rsidRDefault="007A29EA" w:rsidP="000255E8">
            <w:pPr>
              <w:contextualSpacing/>
              <w:rPr>
                <w:rFonts w:ascii="Cambria Math" w:hAnsi="Cambria Math"/>
              </w:rPr>
            </w:pPr>
            <w:r w:rsidRPr="00A0619B">
              <w:rPr>
                <w:rFonts w:ascii="Cambria Math" w:hAnsi="Cambria Math"/>
              </w:rPr>
              <w:t>Cation radius increases down the group.</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19</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(d)</w:t>
            </w:r>
          </w:p>
          <w:p w:rsidR="007A29EA" w:rsidRPr="00A0619B" w:rsidRDefault="007A29EA" w:rsidP="000255E8">
            <w:pPr>
              <w:contextualSpacing/>
              <w:rPr>
                <w:rFonts w:ascii="Cambria Math" w:hAnsi="Cambria Math"/>
              </w:rPr>
            </w:pPr>
            <w:r w:rsidRPr="00A0619B">
              <w:rPr>
                <w:rFonts w:ascii="Cambria Math" w:hAnsi="Cambria Math"/>
              </w:rPr>
              <w:t>Cyanide ion is,</w:t>
            </w:r>
          </w:p>
          <w:p w:rsidR="007A29EA" w:rsidRPr="00A0619B" w:rsidRDefault="007A29EA" w:rsidP="000255E8">
            <w:pPr>
              <w:contextualSpacing/>
              <w:rPr>
                <w:rFonts w:ascii="Cambria Math" w:hAnsi="Cambria Math"/>
              </w:rPr>
            </w:pPr>
            <w:r w:rsidRPr="00A0619B">
              <w:rPr>
                <w:rFonts w:ascii="Cambria Math" w:hAnsi="Cambria Math"/>
              </w:rPr>
              <w:object w:dxaOrig="2014" w:dyaOrig="300">
                <v:shape id="_x0000_i1026" type="#_x0000_t75" style="width:101pt;height:14.5pt" o:ole="">
                  <v:imagedata r:id="rId10" o:title=""/>
                </v:shape>
                <o:OLEObject Type="Embed" ProgID="ChemDraw.Document.6.0" ShapeID="_x0000_i1026" DrawAspect="Content" ObjectID="_1648728963" r:id="rId11"/>
              </w:object>
            </w:r>
            <w:r w:rsidRPr="00A0619B">
              <w:rPr>
                <w:rFonts w:ascii="Cambria Math" w:hAnsi="Cambria Math"/>
              </w:rPr>
              <w:t>.</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20</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(a)</w:t>
            </w:r>
          </w:p>
          <w:p w:rsidR="007A29EA" w:rsidRPr="00A0619B" w:rsidRDefault="007A29EA" w:rsidP="000255E8">
            <w:pPr>
              <w:contextualSpacing/>
              <w:rPr>
                <w:rFonts w:ascii="Cambria Math" w:hAnsi="Cambria Math"/>
              </w:rPr>
            </w:pPr>
            <w:r w:rsidRPr="00A0619B">
              <w:rPr>
                <w:rFonts w:ascii="Cambria Math" w:hAnsi="Cambria Math"/>
              </w:rPr>
              <w:t>All are isoelectronic species; more is nuclear charge smaller is ionic size.</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21</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(c)</w:t>
            </w:r>
          </w:p>
          <w:p w:rsidR="007A29EA" w:rsidRPr="00A0619B" w:rsidRDefault="007A29EA" w:rsidP="000255E8">
            <w:pPr>
              <w:contextualSpacing/>
              <w:jc w:val="both"/>
              <w:rPr>
                <w:rFonts w:ascii="Cambria Math" w:hAnsi="Cambria Math"/>
              </w:rPr>
            </w:pPr>
            <w:r w:rsidRPr="00A0619B">
              <w:rPr>
                <w:rFonts w:ascii="Cambria Math" w:hAnsi="Cambria Math"/>
              </w:rPr>
              <w:t xml:space="preserve">Electron affinity order for halogens is </w:t>
            </w:r>
            <m:oMath>
              <m:r>
                <m:rPr>
                  <m:sty m:val="p"/>
                </m:rPr>
                <w:rPr>
                  <w:rFonts w:ascii="Cambria Math" w:hAnsi="Cambria Math"/>
                </w:rPr>
                <m:t>Cl</m:t>
              </m:r>
              <m:r>
                <w:rPr>
                  <w:rFonts w:ascii="Cambria Math" w:hAnsi="Cambria Math"/>
                </w:rPr>
                <m:t>&gt;F&gt;Br&gt;I</m:t>
              </m:r>
            </m:oMath>
            <w:r w:rsidRPr="00A0619B">
              <w:rPr>
                <w:rFonts w:ascii="Cambria Math" w:hAnsi="Cambria Math"/>
              </w:rPr>
              <w:t>.</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22</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(b)</w:t>
            </w:r>
          </w:p>
          <w:p w:rsidR="007A29EA" w:rsidRPr="00A0619B" w:rsidRDefault="007A29EA" w:rsidP="000255E8">
            <w:pPr>
              <w:contextualSpacing/>
              <w:rPr>
                <w:rFonts w:ascii="Cambria Math" w:hAnsi="Cambria Math"/>
              </w:rPr>
            </w:pPr>
            <w:r w:rsidRPr="00A0619B">
              <w:rPr>
                <w:rFonts w:ascii="Cambria Math" w:hAnsi="Cambria Math"/>
              </w:rPr>
              <w:t>N atom has smallest radius.</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23</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(b)</w:t>
            </w:r>
          </w:p>
          <w:p w:rsidR="007A29EA" w:rsidRPr="00A32310" w:rsidRDefault="007A29EA" w:rsidP="000255E8">
            <w:pPr>
              <w:contextualSpacing/>
              <w:rPr>
                <w:rFonts w:ascii="Cambria Math" w:hAnsi="Cambria Math"/>
              </w:rPr>
            </w:pPr>
            <w:r>
              <w:rPr>
                <w:rFonts w:ascii="Cambria Math" w:hAnsi="Cambria Math"/>
              </w:rPr>
              <w:t>Halogens (</w:t>
            </w:r>
            <m:oMath>
              <m:r>
                <w:rPr>
                  <w:rFonts w:ascii="Cambria Math" w:hAnsi="Cambria Math" w:cs="Calibri"/>
                </w:rPr>
                <m:t>n</m:t>
              </m:r>
              <m:sSup>
                <m:sSupPr>
                  <m:ctrlPr>
                    <w:rPr>
                      <w:rFonts w:ascii="Cambria Math" w:hAnsi="Cambria Math" w:cs="Calibri"/>
                      <w:i/>
                    </w:rPr>
                  </m:ctrlPr>
                </m:sSupPr>
                <m:e>
                  <m:r>
                    <w:rPr>
                      <w:rFonts w:ascii="Cambria Math" w:hAnsi="Cambria Math" w:cs="Calibri"/>
                    </w:rPr>
                    <m:t>s</m:t>
                  </m:r>
                </m:e>
                <m:sup>
                  <m:r>
                    <w:rPr>
                      <w:rFonts w:ascii="Cambria Math" w:hAnsi="Cambria Math" w:cs="Calibri"/>
                    </w:rPr>
                    <m:t>2</m:t>
                  </m:r>
                </m:sup>
              </m:sSup>
              <m:r>
                <w:rPr>
                  <w:rFonts w:ascii="Cambria Math" w:cs="Calibri"/>
                </w:rPr>
                <m:t>n</m:t>
              </m:r>
              <m:sSup>
                <m:sSupPr>
                  <m:ctrlPr>
                    <w:rPr>
                      <w:rFonts w:ascii="Cambria Math" w:hAnsi="Cambria Math" w:cs="Calibri"/>
                      <w:i/>
                    </w:rPr>
                  </m:ctrlPr>
                </m:sSupPr>
                <m:e>
                  <m:r>
                    <w:rPr>
                      <w:rFonts w:ascii="Cambria Math" w:cs="Calibri"/>
                    </w:rPr>
                    <m:t>p</m:t>
                  </m:r>
                </m:e>
                <m:sup>
                  <m:r>
                    <w:rPr>
                      <w:rFonts w:ascii="Cambria Math" w:cs="Calibri"/>
                    </w:rPr>
                    <m:t>5</m:t>
                  </m:r>
                </m:sup>
              </m:sSup>
            </m:oMath>
            <w:r>
              <w:rPr>
                <w:rFonts w:ascii="Cambria Math" w:hAnsi="Cambria Math"/>
              </w:rPr>
              <w:t xml:space="preserve">) after getting one electron occupy </w:t>
            </w:r>
            <m:oMath>
              <m:r>
                <w:rPr>
                  <w:rFonts w:ascii="Cambria Math" w:hAnsi="Cambria Math" w:cs="Calibri"/>
                </w:rPr>
                <m:t>n</m:t>
              </m:r>
              <m:sSup>
                <m:sSupPr>
                  <m:ctrlPr>
                    <w:rPr>
                      <w:rFonts w:ascii="Cambria Math" w:hAnsi="Cambria Math" w:cs="Calibri"/>
                      <w:i/>
                    </w:rPr>
                  </m:ctrlPr>
                </m:sSupPr>
                <m:e>
                  <m:r>
                    <w:rPr>
                      <w:rFonts w:ascii="Cambria Math" w:hAnsi="Cambria Math" w:cs="Calibri"/>
                    </w:rPr>
                    <m:t>s</m:t>
                  </m:r>
                </m:e>
                <m:sup>
                  <m:r>
                    <w:rPr>
                      <w:rFonts w:ascii="Cambria Math" w:hAnsi="Cambria Math" w:cs="Calibri"/>
                    </w:rPr>
                    <m:t>2</m:t>
                  </m:r>
                </m:sup>
              </m:sSup>
              <m:r>
                <w:rPr>
                  <w:rFonts w:ascii="Cambria Math" w:cs="Calibri"/>
                </w:rPr>
                <m:t>n</m:t>
              </m:r>
              <m:sSup>
                <m:sSupPr>
                  <m:ctrlPr>
                    <w:rPr>
                      <w:rFonts w:ascii="Cambria Math" w:hAnsi="Cambria Math" w:cs="Calibri"/>
                      <w:i/>
                    </w:rPr>
                  </m:ctrlPr>
                </m:sSupPr>
                <m:e>
                  <m:r>
                    <w:rPr>
                      <w:rFonts w:ascii="Cambria Math" w:cs="Calibri"/>
                    </w:rPr>
                    <m:t>p</m:t>
                  </m:r>
                </m:e>
                <m:sup>
                  <m:r>
                    <w:rPr>
                      <w:rFonts w:ascii="Cambria Math" w:cs="Calibri"/>
                    </w:rPr>
                    <m:t>6</m:t>
                  </m:r>
                </m:sup>
              </m:sSup>
            </m:oMath>
            <w:r>
              <w:rPr>
                <w:rFonts w:ascii="Cambria Math" w:hAnsi="Cambria Math"/>
              </w:rPr>
              <w:t xml:space="preserve"> configuration, thus have </w:t>
            </w:r>
            <m:oMath>
              <m:r>
                <w:rPr>
                  <w:rFonts w:ascii="Cambria Math" w:hAnsi="Cambria Math"/>
                </w:rPr>
                <m:t>E</m:t>
              </m:r>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ascii="Cambria Math" w:hAnsi="Cambria Math"/>
              </w:rPr>
              <w:t xml:space="preserve"> zero</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24</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(c)</w:t>
            </w:r>
          </w:p>
          <w:p w:rsidR="007A29EA" w:rsidRDefault="007A29EA" w:rsidP="000255E8">
            <w:pPr>
              <w:contextualSpacing/>
              <w:rPr>
                <w:rFonts w:ascii="Cambria Math" w:hAnsi="Cambria Math"/>
              </w:rPr>
            </w:pPr>
            <w:r>
              <w:rPr>
                <w:rFonts w:ascii="Cambria Math" w:hAnsi="Cambria Math"/>
              </w:rPr>
              <w:t>In general, density increases on moving downward in a group but density of potassium (K) is lesser than that of the sodium (Na). This is because of the abnormal increase in atomic size on moving from Na (86 pm) to K (227 pm).</w:t>
            </w:r>
          </w:p>
          <w:p w:rsidR="007A29EA" w:rsidRDefault="007A29EA" w:rsidP="000255E8">
            <w:pPr>
              <w:contextualSpacing/>
              <w:rPr>
                <w:rFonts w:ascii="Cambria Math" w:hAnsi="Cambria Math"/>
              </w:rPr>
            </w:pPr>
            <w:r>
              <w:rPr>
                <w:rFonts w:ascii="Cambria Math" w:hAnsi="Cambria Math"/>
              </w:rPr>
              <w:t xml:space="preserve">Thus, the correct order of density is </w:t>
            </w:r>
          </w:p>
          <w:p w:rsidR="007A29EA" w:rsidRPr="00870770" w:rsidRDefault="00DA3ED5" w:rsidP="000255E8">
            <w:pPr>
              <w:contextualSpacing/>
              <w:rPr>
                <w:rFonts w:ascii="Cambria Math" w:hAnsi="Cambria Math"/>
              </w:rPr>
            </w:pPr>
            <m:oMathPara>
              <m:oMathParaPr>
                <m:jc m:val="left"/>
              </m:oMathParaPr>
              <m:oMath>
                <m:r>
                  <m:rPr>
                    <m:sty m:val="p"/>
                  </m:rPr>
                  <w:rPr>
                    <w:rFonts w:ascii="Cambria Math" w:hAnsi="Cambria Math"/>
                  </w:rPr>
                  <m:t>Li</m:t>
                </m:r>
                <m:r>
                  <w:rPr>
                    <w:rFonts w:ascii="Cambria Math" w:hAnsi="Cambria Math"/>
                  </w:rPr>
                  <m:t>&lt;K&lt;Na&lt;R</m:t>
                </m:r>
                <m:r>
                  <m:rPr>
                    <m:sty m:val="p"/>
                  </m:rPr>
                  <w:rPr>
                    <w:rFonts w:ascii="Cambria Math" w:hAnsi="Cambria Math"/>
                  </w:rPr>
                  <m:t>b</m:t>
                </m:r>
              </m:oMath>
            </m:oMathPara>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25</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(b)</w:t>
            </w:r>
          </w:p>
          <w:p w:rsidR="007A29EA" w:rsidRDefault="007A29EA" w:rsidP="000255E8">
            <w:pPr>
              <w:contextualSpacing/>
              <w:rPr>
                <w:rFonts w:ascii="Cambria Math" w:hAnsi="Cambria Math"/>
              </w:rPr>
            </w:pPr>
            <w:r>
              <w:rPr>
                <w:rFonts w:ascii="Cambria Math" w:hAnsi="Cambria Math"/>
              </w:rPr>
              <w:t xml:space="preserve">The oxide having maximum heat of formation per oxygen atom (thus energy needed to break one </w:t>
            </w:r>
            <m:oMath>
              <m:r>
                <w:rPr>
                  <w:rFonts w:ascii="Cambria Math" w:hAnsi="Cambria Math"/>
                </w:rPr>
                <m:t>M</m:t>
              </m:r>
              <m:r>
                <m:rPr>
                  <m:sty m:val="p"/>
                </m:rPr>
                <w:rPr>
                  <w:rFonts w:ascii="Cambria Math" w:hAnsi="Cambria Math"/>
                </w:rPr>
                <m:t>-O</m:t>
              </m:r>
            </m:oMath>
            <w:r>
              <w:rPr>
                <w:rFonts w:ascii="Cambria Math" w:hAnsi="Cambria Math"/>
              </w:rPr>
              <w:t xml:space="preserve"> bond will be highest) will be most stable.</w:t>
            </w:r>
          </w:p>
          <w:p w:rsidR="007A29EA" w:rsidRPr="009264FF" w:rsidRDefault="007A29EA" w:rsidP="000255E8">
            <w:pPr>
              <w:contextualSpacing/>
              <w:rPr>
                <w:rFonts w:ascii="Cambria Math" w:hAnsi="Cambria Math"/>
              </w:rPr>
            </w:pPr>
            <w:r>
              <w:rPr>
                <w:rFonts w:ascii="Cambria Math" w:hAnsi="Cambria Math"/>
              </w:rPr>
              <w:t xml:space="preserve">MgO is most stable oxide among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O, Si</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 A</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3</m:t>
                  </m:r>
                </m:sub>
              </m:sSub>
            </m:oMath>
            <w:r>
              <w:rPr>
                <w:rFonts w:ascii="Cambria Math" w:hAnsi="Cambria Math"/>
              </w:rPr>
              <w:t xml:space="preserve"> and MgO.</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26</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(c)</w:t>
            </w:r>
          </w:p>
          <w:p w:rsidR="007A29EA" w:rsidRPr="00A32310" w:rsidRDefault="007A29EA" w:rsidP="000255E8">
            <w:pPr>
              <w:contextualSpacing/>
              <w:rPr>
                <w:rFonts w:ascii="Cambria Math" w:hAnsi="Cambria Math"/>
              </w:rPr>
            </w:pPr>
            <w:r>
              <w:rPr>
                <w:rFonts w:ascii="Cambria Math" w:hAnsi="Cambria Math"/>
              </w:rPr>
              <w:t>If Aufbau rule is not followed then 19</w:t>
            </w:r>
            <w:r w:rsidRPr="00C11630">
              <w:rPr>
                <w:rFonts w:ascii="Cambria Math" w:hAnsi="Cambria Math"/>
                <w:vertAlign w:val="superscript"/>
              </w:rPr>
              <w:t>th</w:t>
            </w:r>
            <w:r>
              <w:rPr>
                <w:rFonts w:ascii="Cambria Math" w:hAnsi="Cambria Math"/>
              </w:rPr>
              <w:t xml:space="preserve"> electron in K enters in </w:t>
            </w:r>
            <m:oMath>
              <m:r>
                <w:rPr>
                  <w:rFonts w:ascii="Cambria Math" w:hAnsi="Cambria Math"/>
                </w:rPr>
                <m:t>3d</m:t>
              </m:r>
            </m:oMath>
            <w:r>
              <w:rPr>
                <w:rFonts w:ascii="Cambria Math" w:hAnsi="Cambria Math"/>
              </w:rPr>
              <w:t xml:space="preserve"> sub-shell, not in </w:t>
            </w:r>
            <m:oMath>
              <m:r>
                <w:rPr>
                  <w:rFonts w:ascii="Cambria Math" w:hAnsi="Cambria Math"/>
                </w:rPr>
                <m:t>4s</m:t>
              </m:r>
            </m:oMath>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27</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(a)</w:t>
            </w:r>
          </w:p>
          <w:p w:rsidR="007A29EA" w:rsidRPr="00A0619B" w:rsidRDefault="007A29EA" w:rsidP="000255E8">
            <w:pPr>
              <w:contextualSpacing/>
              <w:rPr>
                <w:rFonts w:ascii="Cambria Math" w:hAnsi="Cambria Math"/>
              </w:rPr>
            </w:pPr>
            <w:r w:rsidRPr="00A0619B">
              <w:rPr>
                <w:rFonts w:ascii="Cambria Math" w:hAnsi="Cambria Math"/>
              </w:rPr>
              <w:t xml:space="preserve">The most electronegative element is </w:t>
            </w:r>
            <m:oMath>
              <m:r>
                <m:rPr>
                  <m:sty m:val="p"/>
                </m:rPr>
                <w:rPr>
                  <w:rFonts w:ascii="Cambria Math" w:hAnsi="Cambria Math"/>
                </w:rPr>
                <m:t>F</m:t>
              </m:r>
            </m:oMath>
            <w:r w:rsidRPr="00A0619B">
              <w:rPr>
                <w:rFonts w:ascii="Cambria Math" w:hAnsi="Cambria Math"/>
              </w:rPr>
              <w:t xml:space="preserve"> and next to </w:t>
            </w:r>
            <m:oMath>
              <m:r>
                <m:rPr>
                  <m:sty m:val="p"/>
                </m:rPr>
                <w:rPr>
                  <w:rFonts w:ascii="Cambria Math" w:hAnsi="Cambria Math"/>
                </w:rPr>
                <m:t>F</m:t>
              </m:r>
            </m:oMath>
            <w:r w:rsidRPr="00A0619B">
              <w:rPr>
                <w:rFonts w:ascii="Cambria Math" w:hAnsi="Cambria Math"/>
              </w:rPr>
              <w:t xml:space="preserve">is </w:t>
            </w:r>
            <m:oMath>
              <m:r>
                <m:rPr>
                  <m:sty m:val="p"/>
                </m:rPr>
                <w:rPr>
                  <w:rFonts w:ascii="Cambria Math" w:hAnsi="Cambria Math"/>
                </w:rPr>
                <m:t>O</m:t>
              </m:r>
            </m:oMath>
            <w:r w:rsidRPr="00A0619B">
              <w:rPr>
                <w:rFonts w:ascii="Cambria Math" w:hAnsi="Cambria Math"/>
              </w:rPr>
              <w:t>.</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28</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(c)</w:t>
            </w:r>
          </w:p>
          <w:p w:rsidR="007A29EA" w:rsidRPr="00A0619B" w:rsidRDefault="007A29EA" w:rsidP="000255E8">
            <w:pPr>
              <w:contextualSpacing/>
              <w:rPr>
                <w:rFonts w:ascii="Cambria Math" w:hAnsi="Cambria Math"/>
              </w:rPr>
            </w:pPr>
            <w:r w:rsidRPr="00A0619B">
              <w:rPr>
                <w:rFonts w:ascii="Cambria Math" w:hAnsi="Cambria Math"/>
              </w:rPr>
              <w:t>Larger is the size of atom, lesser is the tendency for overlapping, lesser is bond energy.</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29</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(c)</w:t>
            </w:r>
          </w:p>
          <w:p w:rsidR="007A29EA" w:rsidRPr="00A0619B" w:rsidRDefault="007A29EA" w:rsidP="000255E8">
            <w:pPr>
              <w:contextualSpacing/>
              <w:rPr>
                <w:rFonts w:ascii="Cambria Math" w:hAnsi="Cambria Math"/>
              </w:rPr>
            </w:pPr>
            <w:r w:rsidRPr="00A0619B">
              <w:rPr>
                <w:rFonts w:ascii="Cambria Math" w:hAnsi="Cambria Math"/>
              </w:rPr>
              <w:t xml:space="preserve">Bond angles in </w:t>
            </w:r>
            <m:oMath>
              <m:sSub>
                <m:sSubPr>
                  <m:ctrlPr>
                    <w:rPr>
                      <w:rFonts w:ascii="Cambria Math" w:hAnsi="Cambria Math"/>
                    </w:rPr>
                  </m:ctrlPr>
                </m:sSubPr>
                <m:e>
                  <m:r>
                    <m:rPr>
                      <m:sty m:val="p"/>
                    </m:rPr>
                    <w:rPr>
                      <w:rFonts w:ascii="Cambria Math" w:hAnsi="Cambria Math"/>
                    </w:rPr>
                    <m:t>BeCl</m:t>
                  </m:r>
                </m:e>
                <m:sub>
                  <m:r>
                    <m:rPr>
                      <m:sty m:val="p"/>
                    </m:rPr>
                    <w:rPr>
                      <w:rFonts w:ascii="Cambria Math" w:hAnsi="Cambria Math"/>
                    </w:rPr>
                    <m:t>2</m:t>
                  </m:r>
                </m:sub>
              </m:sSub>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Pr="00A0619B">
              <w:rPr>
                <w:rFonts w:ascii="Cambria Math" w:hAnsi="Cambria Math"/>
              </w:rPr>
              <w:t xml:space="preserve"> and </w:t>
            </w:r>
            <m:oMath>
              <m:sSub>
                <m:sSubPr>
                  <m:ctrlPr>
                    <w:rPr>
                      <w:rFonts w:ascii="Cambria Math" w:hAnsi="Cambria Math"/>
                    </w:rPr>
                  </m:ctrlPr>
                </m:sSubPr>
                <m:e>
                  <m:r>
                    <m:rPr>
                      <m:sty m:val="p"/>
                    </m:rPr>
                    <w:rPr>
                      <w:rFonts w:ascii="Cambria Math" w:hAnsi="Cambria Math"/>
                    </w:rPr>
                    <m:t>SnCl</m:t>
                  </m:r>
                </m:e>
                <m:sub>
                  <m:r>
                    <m:rPr>
                      <m:sty m:val="p"/>
                    </m:rPr>
                    <w:rPr>
                      <w:rFonts w:ascii="Cambria Math" w:hAnsi="Cambria Math"/>
                    </w:rPr>
                    <m:t>2</m:t>
                  </m:r>
                </m:sub>
              </m:sSub>
            </m:oMath>
            <w:r w:rsidRPr="00A0619B">
              <w:rPr>
                <w:rFonts w:ascii="Cambria Math" w:hAnsi="Cambria Math"/>
              </w:rPr>
              <w:t xml:space="preserve"> are </w:t>
            </w:r>
            <m:oMath>
              <m:r>
                <w:rPr>
                  <w:rFonts w:ascii="Cambria Math" w:hAnsi="Cambria Math"/>
                </w:rPr>
                <m:t>180°,107°,104.5°</m:t>
              </m:r>
            </m:oMath>
            <w:r w:rsidRPr="00A0619B">
              <w:rPr>
                <w:rFonts w:ascii="Cambria Math" w:hAnsi="Cambria Math"/>
              </w:rPr>
              <w:t xml:space="preserve"> and </w:t>
            </w:r>
            <m:oMath>
              <m:r>
                <w:rPr>
                  <w:rFonts w:ascii="Cambria Math" w:hAnsi="Cambria Math"/>
                </w:rPr>
                <m:t>119°</m:t>
              </m:r>
            </m:oMath>
            <w:r w:rsidRPr="00A0619B">
              <w:rPr>
                <w:rFonts w:ascii="Cambria Math" w:hAnsi="Cambria Math"/>
              </w:rPr>
              <w:t xml:space="preserve"> respectively. Also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Se</m:t>
              </m:r>
            </m:oMath>
            <w:r w:rsidRPr="00A0619B">
              <w:rPr>
                <w:rFonts w:ascii="Cambria Math" w:hAnsi="Cambria Math"/>
              </w:rPr>
              <w:t xml:space="preserve"> has </w:t>
            </w:r>
            <m:oMath>
              <m:r>
                <w:rPr>
                  <w:rFonts w:ascii="Cambria Math" w:hAnsi="Cambria Math"/>
                </w:rPr>
                <m:t>s</m:t>
              </m:r>
              <m:sSup>
                <m:sSupPr>
                  <m:ctrlPr>
                    <w:rPr>
                      <w:rFonts w:ascii="Cambria Math" w:hAnsi="Cambria Math"/>
                      <w:i/>
                    </w:rPr>
                  </m:ctrlPr>
                </m:sSupPr>
                <m:e>
                  <m:r>
                    <w:rPr>
                      <w:rFonts w:ascii="Cambria Math" w:hAnsi="Cambria Math"/>
                    </w:rPr>
                    <m:t>p</m:t>
                  </m:r>
                </m:e>
                <m:sup>
                  <m:r>
                    <w:rPr>
                      <w:rFonts w:ascii="Cambria Math" w:hAnsi="Cambria Math"/>
                    </w:rPr>
                    <m:t>3</m:t>
                  </m:r>
                </m:sup>
              </m:sSup>
            </m:oMath>
            <w:r w:rsidRPr="00A0619B">
              <w:rPr>
                <w:rFonts w:ascii="Cambria Math" w:hAnsi="Cambria Math"/>
              </w:rPr>
              <w:t>-hybridization and bond angles of hydrides decreases down the group.</w:t>
            </w:r>
          </w:p>
        </w:tc>
      </w:tr>
      <w:tr w:rsidR="007A29EA" w:rsidRPr="00453EAC" w:rsidTr="007A29EA">
        <w:tc>
          <w:tcPr>
            <w:tcW w:w="440" w:type="pct"/>
            <w:tcMar>
              <w:left w:w="0" w:type="dxa"/>
              <w:right w:w="0" w:type="dxa"/>
            </w:tcMar>
          </w:tcPr>
          <w:p w:rsidR="007A29EA" w:rsidRPr="00DA3ED5" w:rsidRDefault="007A29EA" w:rsidP="000255E8">
            <w:pPr>
              <w:contextualSpacing/>
              <w:rPr>
                <w:rFonts w:ascii="Algerian" w:hAnsi="Algerian"/>
                <w:b/>
              </w:rPr>
            </w:pPr>
            <w:r w:rsidRPr="00DA3ED5">
              <w:rPr>
                <w:rFonts w:ascii="Algerian" w:hAnsi="Algerian"/>
                <w:b/>
              </w:rPr>
              <w:t>30</w:t>
            </w:r>
          </w:p>
        </w:tc>
        <w:tc>
          <w:tcPr>
            <w:tcW w:w="4560" w:type="pct"/>
            <w:tcMar>
              <w:left w:w="0" w:type="dxa"/>
              <w:right w:w="0" w:type="dxa"/>
            </w:tcMar>
          </w:tcPr>
          <w:p w:rsidR="007A29EA" w:rsidRPr="003C05CE" w:rsidRDefault="007A29EA" w:rsidP="000255E8">
            <w:pPr>
              <w:contextualSpacing/>
              <w:rPr>
                <w:rFonts w:asciiTheme="majorHAnsi" w:eastAsiaTheme="minorEastAsia" w:hAnsiTheme="majorHAnsi"/>
                <w:b/>
                <w:bCs/>
              </w:rPr>
            </w:pPr>
            <w:r w:rsidRPr="003C05CE">
              <w:rPr>
                <w:rFonts w:asciiTheme="majorHAnsi" w:eastAsiaTheme="minorEastAsia" w:hAnsiTheme="majorHAnsi"/>
                <w:b/>
                <w:bCs/>
              </w:rPr>
              <w:t>(c)</w:t>
            </w:r>
          </w:p>
          <w:p w:rsidR="007A29EA" w:rsidRDefault="007A29EA" w:rsidP="000255E8">
            <w:pPr>
              <w:contextualSpacing/>
              <w:rPr>
                <w:rFonts w:ascii="Cambria Math" w:hAnsi="Cambria Math"/>
              </w:rPr>
            </w:pPr>
            <w:r>
              <w:rPr>
                <w:rFonts w:ascii="Cambria Math" w:hAnsi="Cambria Math"/>
              </w:rPr>
              <w:t>The correct increasing basic strength:</w:t>
            </w:r>
          </w:p>
          <w:p w:rsidR="007A29EA" w:rsidRPr="00A1036F" w:rsidRDefault="00DA3ED5" w:rsidP="000255E8">
            <w:pPr>
              <w:contextualSpacing/>
              <w:rPr>
                <w:rFonts w:ascii="Cambria Math" w:hAnsi="Cambria Math"/>
              </w:rPr>
            </w:pPr>
            <m:oMathPara>
              <m:oMath>
                <m:r>
                  <m:rPr>
                    <m:sty m:val="p"/>
                  </m:rPr>
                  <w:rPr>
                    <w:rFonts w:ascii="Cambria Math" w:hAnsi="Cambria Math"/>
                  </w:rPr>
                  <m:t>Sb</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&lt;</m:t>
                </m:r>
                <m:r>
                  <w:rPr>
                    <w:rFonts w:ascii="Cambria Math" w:hAnsi="Cambria Math"/>
                  </w:rPr>
                  <m:t>As</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&lt;</m:t>
                </m:r>
                <m:r>
                  <w:rPr>
                    <w:rFonts w:ascii="Cambria Math" w:hAnsi="Cambria Math"/>
                  </w:rPr>
                  <m:t>P</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&lt;</m:t>
                </m:r>
                <m: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m:oMathPara>
          </w:p>
          <w:p w:rsidR="007A29EA" w:rsidRPr="00987A18" w:rsidRDefault="00DA3ED5" w:rsidP="000255E8">
            <w:pPr>
              <w:contextualSpacing/>
              <w:rPr>
                <w:rFonts w:ascii="Cambria Math" w:hAnsi="Cambria Math"/>
              </w:rPr>
            </w:pP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007A29EA">
              <w:rPr>
                <w:rFonts w:ascii="Cambria Math" w:hAnsi="Cambria Math"/>
              </w:rPr>
              <w:t>is the most basic because of its small size, the electron density of electron pair is concentrated over small region. As the size increases, the electron density gets diffused over a large surface area and hence the ability to donate the electron pair (basicity) decreases.</w:t>
            </w:r>
          </w:p>
        </w:tc>
      </w:tr>
    </w:tbl>
    <w:p w:rsidR="00A064E5" w:rsidRPr="007A29EA" w:rsidRDefault="00A064E5" w:rsidP="007A29EA">
      <w:pPr>
        <w:ind w:firstLine="720"/>
      </w:pPr>
    </w:p>
    <w:sectPr w:rsidR="00A064E5" w:rsidRPr="007A29EA" w:rsidSect="00E17C86">
      <w:headerReference w:type="even" r:id="rId12"/>
      <w:headerReference w:type="default" r:id="rId13"/>
      <w:headerReference w:type="first" r:id="rId14"/>
      <w:type w:val="continuous"/>
      <w:pgSz w:w="11909" w:h="16834" w:code="9"/>
      <w:pgMar w:top="-450" w:right="479" w:bottom="540" w:left="720" w:header="1080" w:footer="230" w:gutter="0"/>
      <w:pgBorders w:offsetFrom="page">
        <w:top w:val="single" w:sz="4" w:space="24" w:color="auto"/>
        <w:left w:val="single" w:sz="4" w:space="24" w:color="auto"/>
        <w:bottom w:val="single" w:sz="4" w:space="24" w:color="auto"/>
        <w:right w:val="single" w:sz="4" w:space="24" w:color="auto"/>
      </w:pgBorders>
      <w:cols w:space="36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42BC" w:rsidRDefault="004742BC" w:rsidP="00577C67">
      <w:pPr>
        <w:spacing w:after="0" w:line="240" w:lineRule="auto"/>
      </w:pPr>
      <w:r>
        <w:separator/>
      </w:r>
    </w:p>
  </w:endnote>
  <w:endnote w:type="continuationSeparator" w:id="1">
    <w:p w:rsidR="004742BC" w:rsidRDefault="004742BC" w:rsidP="00577C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42BC" w:rsidRDefault="004742BC" w:rsidP="00577C67">
      <w:pPr>
        <w:spacing w:after="0" w:line="240" w:lineRule="auto"/>
      </w:pPr>
      <w:r>
        <w:separator/>
      </w:r>
    </w:p>
  </w:footnote>
  <w:footnote w:type="continuationSeparator" w:id="1">
    <w:p w:rsidR="004742BC" w:rsidRDefault="004742BC" w:rsidP="00577C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7DB" w:rsidRDefault="00F9264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2347" o:spid="_x0000_s73730" type="#_x0000_t136" style="position:absolute;margin-left:0;margin-top:0;width:675.45pt;height:79.45pt;rotation:315;z-index:-251654144;mso-position-horizontal:center;mso-position-horizontal-relative:margin;mso-position-vertical:center;mso-position-vertical-relative:margin" o:allowincell="f" fillcolor="#31849b [2408]" stroked="f">
          <v:fill opacity=".5"/>
          <v:textpath style="font-family:&quot;Cambria&quot;;font-size:1pt" string="MASTER'S PU COLLEG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7DB" w:rsidRDefault="00F9264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2348" o:spid="_x0000_s73731" type="#_x0000_t136" style="position:absolute;margin-left:0;margin-top:0;width:675.45pt;height:79.45pt;rotation:315;z-index:-251652096;mso-position-horizontal:center;mso-position-horizontal-relative:margin;mso-position-vertical:center;mso-position-vertical-relative:margin" o:allowincell="f" fillcolor="#31849b [2408]" stroked="f">
          <v:fill opacity=".5"/>
          <v:textpath style="font-family:&quot;Cambria&quot;;font-size:1pt" string="MASTER'S PU COLLEGE"/>
          <w10:wrap anchorx="margin" anchory="margin"/>
        </v:shape>
      </w:pict>
    </w:r>
    <w:r w:rsidR="000417DB">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7DB" w:rsidRDefault="00F9264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182346" o:spid="_x0000_s73729" type="#_x0000_t136" style="position:absolute;margin-left:0;margin-top:0;width:675.45pt;height:79.45pt;rotation:315;z-index:-251656192;mso-position-horizontal:center;mso-position-horizontal-relative:margin;mso-position-vertical:center;mso-position-vertical-relative:margin" o:allowincell="f" fillcolor="#31849b [2408]" stroked="f">
          <v:fill opacity=".5"/>
          <v:textpath style="font-family:&quot;Cambria&quot;;font-size:1pt" string="MASTER'S PU COLLEG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525A7"/>
    <w:multiLevelType w:val="hybridMultilevel"/>
    <w:tmpl w:val="6812148E"/>
    <w:lvl w:ilvl="0" w:tplc="A6E2DADC">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38528C"/>
    <w:multiLevelType w:val="hybridMultilevel"/>
    <w:tmpl w:val="1026ECD8"/>
    <w:lvl w:ilvl="0" w:tplc="402E882A">
      <w:start w:val="4"/>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6B520B"/>
    <w:multiLevelType w:val="hybridMultilevel"/>
    <w:tmpl w:val="FEE2BABA"/>
    <w:lvl w:ilvl="0" w:tplc="F70AE2F2">
      <w:start w:val="31"/>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21074099"/>
    <w:multiLevelType w:val="hybridMultilevel"/>
    <w:tmpl w:val="3440C93A"/>
    <w:lvl w:ilvl="0" w:tplc="83FA9B82">
      <w:start w:val="4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1BB7F45"/>
    <w:multiLevelType w:val="hybridMultilevel"/>
    <w:tmpl w:val="A9B4F156"/>
    <w:lvl w:ilvl="0" w:tplc="49FEE374">
      <w:start w:val="52"/>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F66AF7"/>
    <w:multiLevelType w:val="hybridMultilevel"/>
    <w:tmpl w:val="B080BD36"/>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25690D"/>
    <w:multiLevelType w:val="hybridMultilevel"/>
    <w:tmpl w:val="EF2ABF02"/>
    <w:lvl w:ilvl="0" w:tplc="E47ABB22">
      <w:start w:val="60"/>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997814"/>
    <w:multiLevelType w:val="multilevel"/>
    <w:tmpl w:val="EAB0EB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6C3D3CE7"/>
    <w:multiLevelType w:val="hybridMultilevel"/>
    <w:tmpl w:val="59B26112"/>
    <w:lvl w:ilvl="0" w:tplc="5192E6E4">
      <w:start w:val="1"/>
      <w:numFmt w:val="decimal"/>
      <w:lvlText w:val="%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85024A"/>
    <w:multiLevelType w:val="hybridMultilevel"/>
    <w:tmpl w:val="998C0466"/>
    <w:lvl w:ilvl="0" w:tplc="0409000F">
      <w:start w:val="1"/>
      <w:numFmt w:val="decimal"/>
      <w:lvlText w:val="%1."/>
      <w:lvlJc w:val="left"/>
      <w:pPr>
        <w:ind w:left="1080" w:hanging="360"/>
      </w:pPr>
    </w:lvl>
    <w:lvl w:ilvl="1" w:tplc="0492C03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DC6580"/>
    <w:multiLevelType w:val="hybridMultilevel"/>
    <w:tmpl w:val="9D4E53E0"/>
    <w:lvl w:ilvl="0" w:tplc="4BDEF8DC">
      <w:start w:val="1"/>
      <w:numFmt w:val="lowerLetter"/>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
  </w:num>
  <w:num w:numId="2">
    <w:abstractNumId w:val="1"/>
  </w:num>
  <w:num w:numId="3">
    <w:abstractNumId w:val="9"/>
  </w:num>
  <w:num w:numId="4">
    <w:abstractNumId w:val="3"/>
  </w:num>
  <w:num w:numId="5">
    <w:abstractNumId w:val="10"/>
  </w:num>
  <w:num w:numId="6">
    <w:abstractNumId w:val="8"/>
  </w:num>
  <w:num w:numId="7">
    <w:abstractNumId w:val="4"/>
  </w:num>
  <w:num w:numId="8">
    <w:abstractNumId w:val="5"/>
  </w:num>
  <w:num w:numId="9">
    <w:abstractNumId w:val="6"/>
  </w:num>
  <w:num w:numId="10">
    <w:abstractNumId w:val="7"/>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rawingGridVerticalSpacing w:val="245"/>
  <w:displayHorizontalDrawingGridEvery w:val="0"/>
  <w:characterSpacingControl w:val="doNotCompress"/>
  <w:hdrShapeDefaults>
    <o:shapedefaults v:ext="edit" spidmax="87042">
      <o:colormenu v:ext="edit" strokecolor="none [3212]"/>
    </o:shapedefaults>
    <o:shapelayout v:ext="edit">
      <o:idmap v:ext="edit" data="72"/>
    </o:shapelayout>
  </w:hdrShapeDefaults>
  <w:footnotePr>
    <w:footnote w:id="0"/>
    <w:footnote w:id="1"/>
  </w:footnotePr>
  <w:endnotePr>
    <w:endnote w:id="0"/>
    <w:endnote w:id="1"/>
  </w:endnotePr>
  <w:compat/>
  <w:rsids>
    <w:rsidRoot w:val="008E6E09"/>
    <w:rsid w:val="000178A3"/>
    <w:rsid w:val="00020D3A"/>
    <w:rsid w:val="00023209"/>
    <w:rsid w:val="00027F9A"/>
    <w:rsid w:val="00031557"/>
    <w:rsid w:val="00040ECA"/>
    <w:rsid w:val="000417DB"/>
    <w:rsid w:val="00041CD8"/>
    <w:rsid w:val="0004235B"/>
    <w:rsid w:val="00051A32"/>
    <w:rsid w:val="00052D00"/>
    <w:rsid w:val="00057B8F"/>
    <w:rsid w:val="0006154D"/>
    <w:rsid w:val="0006486E"/>
    <w:rsid w:val="0006525E"/>
    <w:rsid w:val="00070492"/>
    <w:rsid w:val="00077F20"/>
    <w:rsid w:val="0009006B"/>
    <w:rsid w:val="000921DB"/>
    <w:rsid w:val="00095DAC"/>
    <w:rsid w:val="000A232F"/>
    <w:rsid w:val="000B00C4"/>
    <w:rsid w:val="000B2AA9"/>
    <w:rsid w:val="000C2251"/>
    <w:rsid w:val="000C4AF2"/>
    <w:rsid w:val="000C741F"/>
    <w:rsid w:val="000D0293"/>
    <w:rsid w:val="000D06D8"/>
    <w:rsid w:val="000D1250"/>
    <w:rsid w:val="000D7C87"/>
    <w:rsid w:val="000E4496"/>
    <w:rsid w:val="00102FC9"/>
    <w:rsid w:val="00111820"/>
    <w:rsid w:val="00127C81"/>
    <w:rsid w:val="00135F25"/>
    <w:rsid w:val="00140DAB"/>
    <w:rsid w:val="00142ECB"/>
    <w:rsid w:val="00143A9F"/>
    <w:rsid w:val="0015433A"/>
    <w:rsid w:val="001561C3"/>
    <w:rsid w:val="00156979"/>
    <w:rsid w:val="001613AC"/>
    <w:rsid w:val="00162EEE"/>
    <w:rsid w:val="001771C2"/>
    <w:rsid w:val="001902C3"/>
    <w:rsid w:val="001B4E29"/>
    <w:rsid w:val="001C5BC2"/>
    <w:rsid w:val="001D01E2"/>
    <w:rsid w:val="001D50F9"/>
    <w:rsid w:val="001D64BC"/>
    <w:rsid w:val="001F1E3C"/>
    <w:rsid w:val="00201DF8"/>
    <w:rsid w:val="002055FD"/>
    <w:rsid w:val="00211268"/>
    <w:rsid w:val="002140D9"/>
    <w:rsid w:val="002253EB"/>
    <w:rsid w:val="00226B50"/>
    <w:rsid w:val="00230726"/>
    <w:rsid w:val="0023345D"/>
    <w:rsid w:val="00242C59"/>
    <w:rsid w:val="00243771"/>
    <w:rsid w:val="00245EDD"/>
    <w:rsid w:val="002554C1"/>
    <w:rsid w:val="00260774"/>
    <w:rsid w:val="00261664"/>
    <w:rsid w:val="00262A15"/>
    <w:rsid w:val="0026716B"/>
    <w:rsid w:val="00275622"/>
    <w:rsid w:val="0027607A"/>
    <w:rsid w:val="002838F6"/>
    <w:rsid w:val="00284AB4"/>
    <w:rsid w:val="00284C35"/>
    <w:rsid w:val="00290820"/>
    <w:rsid w:val="002968DA"/>
    <w:rsid w:val="002A4EFC"/>
    <w:rsid w:val="002B1609"/>
    <w:rsid w:val="002C066B"/>
    <w:rsid w:val="002D5F0E"/>
    <w:rsid w:val="002E36F2"/>
    <w:rsid w:val="002E3FA0"/>
    <w:rsid w:val="002E42D4"/>
    <w:rsid w:val="002F0E7A"/>
    <w:rsid w:val="002F3998"/>
    <w:rsid w:val="00301BB2"/>
    <w:rsid w:val="00306824"/>
    <w:rsid w:val="0032134F"/>
    <w:rsid w:val="00334863"/>
    <w:rsid w:val="0034688F"/>
    <w:rsid w:val="00346A4A"/>
    <w:rsid w:val="00350C11"/>
    <w:rsid w:val="003571A3"/>
    <w:rsid w:val="00360B51"/>
    <w:rsid w:val="00363BD6"/>
    <w:rsid w:val="0036751E"/>
    <w:rsid w:val="00381B11"/>
    <w:rsid w:val="00383DBF"/>
    <w:rsid w:val="0039338D"/>
    <w:rsid w:val="003A5AE5"/>
    <w:rsid w:val="003A6B73"/>
    <w:rsid w:val="003B5A46"/>
    <w:rsid w:val="003C27A9"/>
    <w:rsid w:val="003D3893"/>
    <w:rsid w:val="003E13B5"/>
    <w:rsid w:val="003E29A9"/>
    <w:rsid w:val="003E61C7"/>
    <w:rsid w:val="003F00D7"/>
    <w:rsid w:val="003F35A0"/>
    <w:rsid w:val="003F53A3"/>
    <w:rsid w:val="004071B8"/>
    <w:rsid w:val="00410DD0"/>
    <w:rsid w:val="00411D1C"/>
    <w:rsid w:val="00413182"/>
    <w:rsid w:val="00421C3A"/>
    <w:rsid w:val="00425753"/>
    <w:rsid w:val="00432E0F"/>
    <w:rsid w:val="00435A6D"/>
    <w:rsid w:val="00440E8A"/>
    <w:rsid w:val="004464F5"/>
    <w:rsid w:val="004512F3"/>
    <w:rsid w:val="004742BC"/>
    <w:rsid w:val="00484A54"/>
    <w:rsid w:val="00487504"/>
    <w:rsid w:val="0049686D"/>
    <w:rsid w:val="004A072E"/>
    <w:rsid w:val="004A2A6B"/>
    <w:rsid w:val="004A6C00"/>
    <w:rsid w:val="004B1929"/>
    <w:rsid w:val="004C0D82"/>
    <w:rsid w:val="004D22B9"/>
    <w:rsid w:val="004D2544"/>
    <w:rsid w:val="004D4C81"/>
    <w:rsid w:val="004D5A10"/>
    <w:rsid w:val="004E151A"/>
    <w:rsid w:val="004E64DE"/>
    <w:rsid w:val="004E7E51"/>
    <w:rsid w:val="004F4B32"/>
    <w:rsid w:val="00500046"/>
    <w:rsid w:val="00502103"/>
    <w:rsid w:val="00506A3A"/>
    <w:rsid w:val="0051679D"/>
    <w:rsid w:val="005241A8"/>
    <w:rsid w:val="00531CBB"/>
    <w:rsid w:val="00536C3C"/>
    <w:rsid w:val="0054797B"/>
    <w:rsid w:val="00550ED0"/>
    <w:rsid w:val="00555F32"/>
    <w:rsid w:val="005562A2"/>
    <w:rsid w:val="005620F9"/>
    <w:rsid w:val="00564F3F"/>
    <w:rsid w:val="00576985"/>
    <w:rsid w:val="00577C67"/>
    <w:rsid w:val="00581851"/>
    <w:rsid w:val="005A5FDC"/>
    <w:rsid w:val="005B09E7"/>
    <w:rsid w:val="005C13A1"/>
    <w:rsid w:val="005C2073"/>
    <w:rsid w:val="005C2D03"/>
    <w:rsid w:val="005E2085"/>
    <w:rsid w:val="005F405A"/>
    <w:rsid w:val="00605A54"/>
    <w:rsid w:val="00614886"/>
    <w:rsid w:val="006324EE"/>
    <w:rsid w:val="006375DC"/>
    <w:rsid w:val="00641929"/>
    <w:rsid w:val="006613C0"/>
    <w:rsid w:val="00672073"/>
    <w:rsid w:val="0068011A"/>
    <w:rsid w:val="00681115"/>
    <w:rsid w:val="00693987"/>
    <w:rsid w:val="006B197F"/>
    <w:rsid w:val="006B2DDD"/>
    <w:rsid w:val="006B61BB"/>
    <w:rsid w:val="006C0514"/>
    <w:rsid w:val="006C53D9"/>
    <w:rsid w:val="006C6602"/>
    <w:rsid w:val="006D019A"/>
    <w:rsid w:val="006D58BA"/>
    <w:rsid w:val="006D6528"/>
    <w:rsid w:val="006E064A"/>
    <w:rsid w:val="006F417D"/>
    <w:rsid w:val="0070729D"/>
    <w:rsid w:val="007076EF"/>
    <w:rsid w:val="007129A2"/>
    <w:rsid w:val="0072317A"/>
    <w:rsid w:val="00723ED1"/>
    <w:rsid w:val="007358CC"/>
    <w:rsid w:val="007367F8"/>
    <w:rsid w:val="00736DDD"/>
    <w:rsid w:val="00740241"/>
    <w:rsid w:val="00741B39"/>
    <w:rsid w:val="00746ADC"/>
    <w:rsid w:val="00750F8D"/>
    <w:rsid w:val="00752072"/>
    <w:rsid w:val="007701B7"/>
    <w:rsid w:val="00771F18"/>
    <w:rsid w:val="00772356"/>
    <w:rsid w:val="00772C0C"/>
    <w:rsid w:val="0077599F"/>
    <w:rsid w:val="00782A68"/>
    <w:rsid w:val="0079015D"/>
    <w:rsid w:val="0079653C"/>
    <w:rsid w:val="007A29EA"/>
    <w:rsid w:val="007B2DF2"/>
    <w:rsid w:val="007B57F8"/>
    <w:rsid w:val="007C1E14"/>
    <w:rsid w:val="007D4CAD"/>
    <w:rsid w:val="007F22FF"/>
    <w:rsid w:val="0080404B"/>
    <w:rsid w:val="0080526A"/>
    <w:rsid w:val="00807351"/>
    <w:rsid w:val="0081176D"/>
    <w:rsid w:val="00812891"/>
    <w:rsid w:val="00814BA9"/>
    <w:rsid w:val="0081553F"/>
    <w:rsid w:val="00815BDC"/>
    <w:rsid w:val="00816741"/>
    <w:rsid w:val="00824FA3"/>
    <w:rsid w:val="008277C8"/>
    <w:rsid w:val="0083436E"/>
    <w:rsid w:val="008501B0"/>
    <w:rsid w:val="00855A04"/>
    <w:rsid w:val="0086327F"/>
    <w:rsid w:val="00863BCC"/>
    <w:rsid w:val="0086792E"/>
    <w:rsid w:val="008733F9"/>
    <w:rsid w:val="00874669"/>
    <w:rsid w:val="008A3B4E"/>
    <w:rsid w:val="008E2121"/>
    <w:rsid w:val="008E6E09"/>
    <w:rsid w:val="008F0343"/>
    <w:rsid w:val="008F3396"/>
    <w:rsid w:val="008F6D80"/>
    <w:rsid w:val="00901F23"/>
    <w:rsid w:val="00907CC0"/>
    <w:rsid w:val="00915CD6"/>
    <w:rsid w:val="0092514B"/>
    <w:rsid w:val="00930042"/>
    <w:rsid w:val="0093299E"/>
    <w:rsid w:val="00962381"/>
    <w:rsid w:val="00985428"/>
    <w:rsid w:val="009A22CF"/>
    <w:rsid w:val="009A5CF1"/>
    <w:rsid w:val="009A7DB7"/>
    <w:rsid w:val="009B77B2"/>
    <w:rsid w:val="009C7DC8"/>
    <w:rsid w:val="009D0C6D"/>
    <w:rsid w:val="009D0F00"/>
    <w:rsid w:val="009D3722"/>
    <w:rsid w:val="009E6DEF"/>
    <w:rsid w:val="009F22F8"/>
    <w:rsid w:val="00A010FA"/>
    <w:rsid w:val="00A064E5"/>
    <w:rsid w:val="00A13988"/>
    <w:rsid w:val="00A373CF"/>
    <w:rsid w:val="00A44F21"/>
    <w:rsid w:val="00A545C7"/>
    <w:rsid w:val="00A5706C"/>
    <w:rsid w:val="00A6668D"/>
    <w:rsid w:val="00A76AFF"/>
    <w:rsid w:val="00AA2011"/>
    <w:rsid w:val="00AA36F9"/>
    <w:rsid w:val="00AB7966"/>
    <w:rsid w:val="00AE2A03"/>
    <w:rsid w:val="00AE3B0D"/>
    <w:rsid w:val="00AF101C"/>
    <w:rsid w:val="00AF534A"/>
    <w:rsid w:val="00B113AA"/>
    <w:rsid w:val="00B14DB1"/>
    <w:rsid w:val="00B206C4"/>
    <w:rsid w:val="00B31DDF"/>
    <w:rsid w:val="00B37223"/>
    <w:rsid w:val="00B37D98"/>
    <w:rsid w:val="00B40C34"/>
    <w:rsid w:val="00B511C2"/>
    <w:rsid w:val="00B538A5"/>
    <w:rsid w:val="00B60917"/>
    <w:rsid w:val="00B670D9"/>
    <w:rsid w:val="00B77877"/>
    <w:rsid w:val="00B8075F"/>
    <w:rsid w:val="00B822FF"/>
    <w:rsid w:val="00B97EB8"/>
    <w:rsid w:val="00BA09C0"/>
    <w:rsid w:val="00BB5B32"/>
    <w:rsid w:val="00BC3EB9"/>
    <w:rsid w:val="00BD0D70"/>
    <w:rsid w:val="00BE3962"/>
    <w:rsid w:val="00BE49F7"/>
    <w:rsid w:val="00BE5394"/>
    <w:rsid w:val="00BE71E5"/>
    <w:rsid w:val="00BF0D32"/>
    <w:rsid w:val="00BF1BC0"/>
    <w:rsid w:val="00C064FD"/>
    <w:rsid w:val="00C066D3"/>
    <w:rsid w:val="00C066EA"/>
    <w:rsid w:val="00C11D1C"/>
    <w:rsid w:val="00C24924"/>
    <w:rsid w:val="00C30FF3"/>
    <w:rsid w:val="00C45FEA"/>
    <w:rsid w:val="00C74523"/>
    <w:rsid w:val="00C74853"/>
    <w:rsid w:val="00C81ACD"/>
    <w:rsid w:val="00C82D81"/>
    <w:rsid w:val="00C947D0"/>
    <w:rsid w:val="00CA6A57"/>
    <w:rsid w:val="00CB1C3A"/>
    <w:rsid w:val="00CB38FE"/>
    <w:rsid w:val="00CB5909"/>
    <w:rsid w:val="00CB7FF1"/>
    <w:rsid w:val="00CC74FC"/>
    <w:rsid w:val="00CD0102"/>
    <w:rsid w:val="00CD0743"/>
    <w:rsid w:val="00CD393A"/>
    <w:rsid w:val="00CD4AC8"/>
    <w:rsid w:val="00CD6745"/>
    <w:rsid w:val="00CE11FC"/>
    <w:rsid w:val="00CF1B6E"/>
    <w:rsid w:val="00D00FF1"/>
    <w:rsid w:val="00D041EF"/>
    <w:rsid w:val="00D107CD"/>
    <w:rsid w:val="00D160DE"/>
    <w:rsid w:val="00D41569"/>
    <w:rsid w:val="00D57528"/>
    <w:rsid w:val="00D73121"/>
    <w:rsid w:val="00D77DF0"/>
    <w:rsid w:val="00D821D5"/>
    <w:rsid w:val="00D84059"/>
    <w:rsid w:val="00DA1343"/>
    <w:rsid w:val="00DA3ED5"/>
    <w:rsid w:val="00DB1EEA"/>
    <w:rsid w:val="00DB7E15"/>
    <w:rsid w:val="00DC6F9F"/>
    <w:rsid w:val="00DC7E05"/>
    <w:rsid w:val="00DD0958"/>
    <w:rsid w:val="00DD341A"/>
    <w:rsid w:val="00DE1631"/>
    <w:rsid w:val="00DE336D"/>
    <w:rsid w:val="00DE5B92"/>
    <w:rsid w:val="00DF68B4"/>
    <w:rsid w:val="00E03419"/>
    <w:rsid w:val="00E035FF"/>
    <w:rsid w:val="00E12487"/>
    <w:rsid w:val="00E17C86"/>
    <w:rsid w:val="00E2241F"/>
    <w:rsid w:val="00E25C7F"/>
    <w:rsid w:val="00E26036"/>
    <w:rsid w:val="00E3312F"/>
    <w:rsid w:val="00E35536"/>
    <w:rsid w:val="00E42C42"/>
    <w:rsid w:val="00E47DA0"/>
    <w:rsid w:val="00E70AB7"/>
    <w:rsid w:val="00E72ABD"/>
    <w:rsid w:val="00E73040"/>
    <w:rsid w:val="00E75FA7"/>
    <w:rsid w:val="00E809EB"/>
    <w:rsid w:val="00E93B98"/>
    <w:rsid w:val="00E94348"/>
    <w:rsid w:val="00EA0E08"/>
    <w:rsid w:val="00ED0A05"/>
    <w:rsid w:val="00ED277B"/>
    <w:rsid w:val="00ED5D62"/>
    <w:rsid w:val="00ED5E68"/>
    <w:rsid w:val="00EE613A"/>
    <w:rsid w:val="00EF5853"/>
    <w:rsid w:val="00EF6B50"/>
    <w:rsid w:val="00F03155"/>
    <w:rsid w:val="00F0472C"/>
    <w:rsid w:val="00F14A25"/>
    <w:rsid w:val="00F17B49"/>
    <w:rsid w:val="00F17E6F"/>
    <w:rsid w:val="00F210FB"/>
    <w:rsid w:val="00F37ABD"/>
    <w:rsid w:val="00F42A78"/>
    <w:rsid w:val="00F57DB2"/>
    <w:rsid w:val="00F73CB3"/>
    <w:rsid w:val="00F81BD0"/>
    <w:rsid w:val="00F8666A"/>
    <w:rsid w:val="00F92644"/>
    <w:rsid w:val="00F973E2"/>
    <w:rsid w:val="00FA1AA4"/>
    <w:rsid w:val="00FA3244"/>
    <w:rsid w:val="00FA6D4B"/>
    <w:rsid w:val="00FA797D"/>
    <w:rsid w:val="00FB3B4C"/>
    <w:rsid w:val="00FB4C0A"/>
    <w:rsid w:val="00FC0CA2"/>
    <w:rsid w:val="00FC4363"/>
    <w:rsid w:val="00FD146A"/>
    <w:rsid w:val="00FD313B"/>
    <w:rsid w:val="00FD56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7042">
      <o:colormenu v:ext="edit" strokecolor="none [3212]"/>
    </o:shapedefaults>
    <o:shapelayout v:ext="edit">
      <o:idmap v:ext="edit" data="1"/>
      <o:rules v:ext="edit">
        <o:r id="V:Rule5" type="connector" idref="#_x0000_s1033"/>
        <o:r id="V:Rule6" type="connector" idref="#_x0000_s1034"/>
        <o:r id="V:Rule7" type="connector" idref="#_x0000_s1028"/>
        <o:r id="V:Rule8"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D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0D9"/>
    <w:pPr>
      <w:ind w:left="720"/>
      <w:contextualSpacing/>
    </w:pPr>
  </w:style>
  <w:style w:type="character" w:styleId="PlaceholderText">
    <w:name w:val="Placeholder Text"/>
    <w:basedOn w:val="DefaultParagraphFont"/>
    <w:uiPriority w:val="99"/>
    <w:semiHidden/>
    <w:rsid w:val="002140D9"/>
    <w:rPr>
      <w:color w:val="808080"/>
    </w:rPr>
  </w:style>
  <w:style w:type="paragraph" w:styleId="BalloonText">
    <w:name w:val="Balloon Text"/>
    <w:basedOn w:val="Normal"/>
    <w:link w:val="BalloonTextChar"/>
    <w:uiPriority w:val="99"/>
    <w:semiHidden/>
    <w:unhideWhenUsed/>
    <w:rsid w:val="00CC7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4FC"/>
    <w:rPr>
      <w:rFonts w:ascii="Tahoma" w:hAnsi="Tahoma" w:cs="Tahoma"/>
      <w:sz w:val="16"/>
      <w:szCs w:val="16"/>
    </w:rPr>
  </w:style>
  <w:style w:type="paragraph" w:styleId="NoSpacing">
    <w:name w:val="No Spacing"/>
    <w:uiPriority w:val="1"/>
    <w:qFormat/>
    <w:rsid w:val="00D73121"/>
    <w:pPr>
      <w:spacing w:after="0" w:line="240" w:lineRule="auto"/>
    </w:pPr>
  </w:style>
  <w:style w:type="paragraph" w:styleId="Header">
    <w:name w:val="header"/>
    <w:basedOn w:val="Normal"/>
    <w:link w:val="HeaderChar"/>
    <w:uiPriority w:val="99"/>
    <w:unhideWhenUsed/>
    <w:rsid w:val="00C064FD"/>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C064FD"/>
    <w:rPr>
      <w:rFonts w:eastAsiaTheme="minorEastAsia"/>
    </w:rPr>
  </w:style>
  <w:style w:type="paragraph" w:styleId="Footer">
    <w:name w:val="footer"/>
    <w:basedOn w:val="Normal"/>
    <w:link w:val="FooterChar"/>
    <w:uiPriority w:val="99"/>
    <w:unhideWhenUsed/>
    <w:rsid w:val="00C064FD"/>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C064FD"/>
    <w:rPr>
      <w:rFonts w:eastAsiaTheme="minorEastAsia"/>
    </w:rPr>
  </w:style>
  <w:style w:type="table" w:styleId="TableGrid">
    <w:name w:val="Table Grid"/>
    <w:basedOn w:val="TableNormal"/>
    <w:uiPriority w:val="59"/>
    <w:rsid w:val="002437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1">
    <w:name w:val="Light Grid Accent 1"/>
    <w:basedOn w:val="TableNormal"/>
    <w:uiPriority w:val="62"/>
    <w:rsid w:val="00DA3E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DA3ED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2">
    <w:name w:val="Light Grid Accent 2"/>
    <w:basedOn w:val="TableNormal"/>
    <w:uiPriority w:val="62"/>
    <w:rsid w:val="00DA3ED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6">
    <w:name w:val="Light Grid Accent 6"/>
    <w:basedOn w:val="TableNormal"/>
    <w:uiPriority w:val="62"/>
    <w:rsid w:val="00DA3ED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62A33-C242-4559-AD38-43C578522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masters</dc:creator>
  <cp:lastModifiedBy>masterspu</cp:lastModifiedBy>
  <cp:revision>3</cp:revision>
  <cp:lastPrinted>2018-08-09T11:44:00Z</cp:lastPrinted>
  <dcterms:created xsi:type="dcterms:W3CDTF">2020-04-16T04:06:00Z</dcterms:created>
  <dcterms:modified xsi:type="dcterms:W3CDTF">2020-04-18T09:59:00Z</dcterms:modified>
</cp:coreProperties>
</file>