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A14092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9.25pt;margin-top:2.7pt;width:0;height:57.75pt;z-index:251659264" o:connectortype="straight"/>
        </w:pict>
      </w:r>
      <w:r>
        <w:rPr>
          <w:noProof/>
        </w:rPr>
        <w:pict>
          <v:roundrect id="_x0000_s1026" style="position:absolute;margin-left:-12pt;margin-top:3.1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A14092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.25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7911CD">
                    <w:rPr>
                      <w:b/>
                    </w:rPr>
                    <w:t>8</w:t>
                  </w:r>
                  <w:r w:rsidR="00352BCE">
                    <w:rPr>
                      <w:b/>
                    </w:rPr>
                    <w:t>.</w:t>
                  </w:r>
                  <w:r w:rsidR="007911CD">
                    <w:rPr>
                      <w:b/>
                    </w:rPr>
                    <w:t>5</w:t>
                  </w:r>
                  <w:r w:rsidR="00051A32">
                    <w:rPr>
                      <w:b/>
                    </w:rPr>
                    <w:t>.20</w:t>
                  </w:r>
                </w:p>
              </w:txbxContent>
            </v:textbox>
          </v:shape>
        </w:pict>
      </w:r>
    </w:p>
    <w:p w:rsidR="00A064E5" w:rsidRDefault="00A14092" w:rsidP="004E151A">
      <w:r>
        <w:rPr>
          <w:noProof/>
        </w:rPr>
        <w:pict>
          <v:shape id="_x0000_s1045" type="#_x0000_t32" style="position:absolute;margin-left:89.25pt;margin-top:17.8pt;width:366pt;height:0;z-index:251671552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8F0343" w:rsidRDefault="00FE3F69" w:rsidP="007471E7">
                  <w:pPr>
                    <w:ind w:left="-180"/>
                    <w:jc w:val="center"/>
                    <w:rPr>
                      <w:b/>
                      <w:sz w:val="20"/>
                    </w:rPr>
                  </w:pPr>
                  <w:r w:rsidRPr="00FE3F69">
                    <w:rPr>
                      <w:b/>
                      <w:sz w:val="18"/>
                    </w:rPr>
                    <w:t>CHEMICAL BONDING</w:t>
                  </w:r>
                  <w:r w:rsidR="009B1F10">
                    <w:rPr>
                      <w:b/>
                      <w:sz w:val="18"/>
                    </w:rPr>
                    <w:t>-ANSWER KEY</w:t>
                  </w:r>
                  <w:r w:rsidR="008F0343">
                    <w:rPr>
                      <w:b/>
                      <w:sz w:val="18"/>
                    </w:rPr>
                    <w:t>-</w:t>
                  </w:r>
                  <w:r w:rsidR="007A29EA" w:rsidRPr="008F0343">
                    <w:rPr>
                      <w:b/>
                      <w:sz w:val="18"/>
                    </w:rPr>
                    <w:t>HINTS 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731EE2" w:rsidRDefault="00A14092" w:rsidP="00613C6E">
      <w:pPr>
        <w:tabs>
          <w:tab w:val="left" w:pos="3267"/>
          <w:tab w:val="left" w:pos="7114"/>
        </w:tabs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48" type="#_x0000_t32" style="position:absolute;margin-left:-3.75pt;margin-top:9.95pt;width:537.75pt;height:0;z-index:251672576" o:connectortype="straight"/>
        </w:pict>
      </w:r>
    </w:p>
    <w:tbl>
      <w:tblPr>
        <w:tblW w:w="5000" w:type="pct"/>
        <w:tblLayout w:type="fixed"/>
        <w:tblLook w:val="04A0"/>
      </w:tblPr>
      <w:tblGrid>
        <w:gridCol w:w="5175"/>
      </w:tblGrid>
      <w:tr w:rsidR="00731EE2" w:rsidRPr="00453EAC" w:rsidTr="00F729E9">
        <w:tc>
          <w:tcPr>
            <w:tcW w:w="5000" w:type="pct"/>
            <w:tcMar>
              <w:left w:w="0" w:type="dxa"/>
              <w:right w:w="0" w:type="dxa"/>
            </w:tcMar>
          </w:tcPr>
          <w:tbl>
            <w:tblPr>
              <w:tblStyle w:val="LightGrid-Accent6"/>
              <w:tblpPr w:leftFromText="180" w:rightFromText="180" w:horzAnchor="page" w:tblpX="2924" w:tblpY="322"/>
              <w:tblOverlap w:val="never"/>
              <w:tblW w:w="5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45"/>
              <w:gridCol w:w="645"/>
              <w:gridCol w:w="645"/>
              <w:gridCol w:w="645"/>
              <w:gridCol w:w="645"/>
              <w:gridCol w:w="645"/>
              <w:gridCol w:w="646"/>
              <w:gridCol w:w="964"/>
            </w:tblGrid>
            <w:tr w:rsidR="00731EE2" w:rsidRPr="00DA3ED5" w:rsidTr="00F27FDA">
              <w:trPr>
                <w:cnfStyle w:val="100000000000"/>
              </w:trPr>
              <w:tc>
                <w:tcPr>
                  <w:cnfStyle w:val="001000000000"/>
                  <w:tcW w:w="5480" w:type="dxa"/>
                  <w:gridSpan w:val="8"/>
                </w:tcPr>
                <w:p w:rsidR="00731EE2" w:rsidRPr="00DA3ED5" w:rsidRDefault="00731EE2" w:rsidP="00F729E9">
                  <w:pPr>
                    <w:contextualSpacing/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:</w:t>
                  </w:r>
                  <w:r w:rsidR="00FE3F69">
                    <w:t xml:space="preserve"> </w:t>
                  </w:r>
                  <w:r w:rsidR="00FE3F69" w:rsidRPr="00FE3F69">
                    <w:rPr>
                      <w:sz w:val="18"/>
                    </w:rPr>
                    <w:t>CHEMICAL BONDING</w:t>
                  </w:r>
                  <w:r w:rsidR="00FE3F69">
                    <w:rPr>
                      <w:sz w:val="18"/>
                    </w:rPr>
                    <w:t xml:space="preserve"> - </w:t>
                  </w:r>
                  <w:r>
                    <w:rPr>
                      <w:sz w:val="18"/>
                    </w:rPr>
                    <w:t>ANSWER KEY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3)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4)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5)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6)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7)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8)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10)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12)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13)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14)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15)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16)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18)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20)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21)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22)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23)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24)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25)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26)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28)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rPr>
                      <w:b w:val="0"/>
                      <w:bCs w:val="0"/>
                    </w:rPr>
                  </w:pPr>
                  <w:r w:rsidRPr="00FC7E29">
                    <w:t>29)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30)</w:t>
                  </w: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646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964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</w:tr>
          </w:tbl>
          <w:p w:rsidR="00731EE2" w:rsidRPr="00DA3ED5" w:rsidRDefault="00731EE2" w:rsidP="00613C6E">
            <w:pPr>
              <w:tabs>
                <w:tab w:val="left" w:pos="3783"/>
                <w:tab w:val="left" w:pos="7877"/>
              </w:tabs>
              <w:rPr>
                <w:rFonts w:asciiTheme="majorHAnsi" w:hAnsiTheme="majorHAnsi"/>
                <w:sz w:val="2"/>
              </w:rPr>
            </w:pPr>
          </w:p>
        </w:tc>
      </w:tr>
    </w:tbl>
    <w:p w:rsidR="00731EE2" w:rsidRPr="005F787C" w:rsidRDefault="00731EE2" w:rsidP="00731EE2">
      <w:pPr>
        <w:spacing w:line="240" w:lineRule="auto"/>
        <w:contextualSpacing/>
        <w:jc w:val="center"/>
        <w:rPr>
          <w:rFonts w:asciiTheme="majorHAnsi" w:hAnsiTheme="majorHAnsi"/>
        </w:rPr>
      </w:pPr>
    </w:p>
    <w:tbl>
      <w:tblPr>
        <w:tblW w:w="7648" w:type="pct"/>
        <w:tblInd w:w="-180" w:type="dxa"/>
        <w:tblLayout w:type="fixed"/>
        <w:tblLook w:val="04A0"/>
      </w:tblPr>
      <w:tblGrid>
        <w:gridCol w:w="359"/>
        <w:gridCol w:w="5000"/>
        <w:gridCol w:w="2557"/>
      </w:tblGrid>
      <w:tr w:rsidR="00731EE2" w:rsidRPr="00453EAC" w:rsidTr="00F27FDA">
        <w:tc>
          <w:tcPr>
            <w:tcW w:w="5000" w:type="pct"/>
            <w:gridSpan w:val="3"/>
            <w:shd w:val="clear" w:color="auto" w:fill="000000" w:themeFill="text1"/>
            <w:tcMar>
              <w:left w:w="0" w:type="dxa"/>
              <w:right w:w="0" w:type="dxa"/>
            </w:tcMar>
          </w:tcPr>
          <w:p w:rsidR="00731EE2" w:rsidRPr="00F27FDA" w:rsidRDefault="00FF0AA5" w:rsidP="00F27FDA">
            <w:pPr>
              <w:contextualSpacing/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-: CHEMICAL BONDING-H</w:t>
            </w:r>
            <w:r w:rsidR="00731EE2"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INTS AND SOLUTIONS :</w:t>
            </w:r>
            <w:r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84"/>
              <w:gridCol w:w="1440"/>
            </w:tblGrid>
            <w:tr w:rsidR="005637B0" w:rsidTr="00C21BC6">
              <w:tc>
                <w:tcPr>
                  <w:tcW w:w="1084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b/>
                    </w:rPr>
                  </w:pPr>
                  <w:r w:rsidRPr="006E3945">
                    <w:rPr>
                      <w:rFonts w:ascii="Cambria Math" w:hAnsi="Cambria Math"/>
                      <w:b/>
                    </w:rPr>
                    <w:t>Molecule</w:t>
                  </w:r>
                </w:p>
              </w:tc>
              <w:tc>
                <w:tcPr>
                  <w:tcW w:w="1440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b/>
                    </w:rPr>
                  </w:pPr>
                  <w:r w:rsidRPr="006E3945">
                    <w:rPr>
                      <w:rFonts w:ascii="Cambria Math" w:hAnsi="Cambria Math"/>
                      <w:b/>
                    </w:rPr>
                    <w:t>Hybridization</w:t>
                  </w:r>
                </w:p>
              </w:tc>
            </w:tr>
            <w:tr w:rsidR="005637B0" w:rsidTr="00C21BC6">
              <w:tc>
                <w:tcPr>
                  <w:tcW w:w="1084" w:type="dxa"/>
                </w:tcPr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5637B0" w:rsidRPr="00846B67" w:rsidRDefault="00A14092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5637B0" w:rsidRPr="00846B67" w:rsidRDefault="00A14092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40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sp</m:t>
                      </m:r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sp</m:t>
                      </m:r>
                    </m:oMath>
                  </m:oMathPara>
                </w:p>
              </w:tc>
            </w:tr>
          </w:tbl>
          <w:p w:rsidR="005637B0" w:rsidRDefault="005637B0" w:rsidP="00F27FDA">
            <w:pPr>
              <w:spacing w:line="240" w:lineRule="auto"/>
              <w:contextualSpacing/>
              <w:rPr>
                <w:rFonts w:ascii="Cambria Math" w:hAnsi="Cambria Math"/>
              </w:rPr>
            </w:pP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F27FDA">
            <w:pPr>
              <w:spacing w:line="240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>is smaller than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 xml:space="preserve"> and thus, smaller is cation more is hydration energy.</w:t>
            </w:r>
          </w:p>
        </w:tc>
      </w:tr>
      <w:tr w:rsidR="005637B0" w:rsidRPr="00EE37C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Number of lone pair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XeO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is one (1). The structure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XeO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is given as follows :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8910" cy="2750185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275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 w:rsidRPr="00EE37C0">
              <w:rPr>
                <w:rFonts w:ascii="Cambria Math" w:eastAsiaTheme="minorEastAsia" w:hAnsi="Cambria Math"/>
              </w:rPr>
              <w:t xml:space="preserve">One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oMath>
            <w:r>
              <w:rPr>
                <w:rFonts w:ascii="Cambria Math" w:eastAsiaTheme="minorEastAsia" w:hAnsi="Cambria Math"/>
              </w:rPr>
              <w:t xml:space="preserve">-bond so remaining six electron pairs form an 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octahedron with one position occupied by a lone pair.</w:t>
            </w:r>
          </w:p>
          <w:p w:rsidR="00F27FDA" w:rsidRPr="00EE37C0" w:rsidRDefault="00F27FDA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F27FDA" w:rsidRDefault="00A14092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A14092">
              <w:rPr>
                <w:noProof/>
              </w:rPr>
              <w:pict>
                <v:shape id="_x0000_s1033" type="#_x0000_t32" style="position:absolute;margin-left:166.55pt;margin-top:2.05pt;width:0;height:57.75pt;z-index:251663360;mso-position-horizontal-relative:text;mso-position-vertical-relative:text" o:connectortype="straight"/>
              </w:pict>
            </w: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These are the factors on which van der Waals’ forces depend.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It has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 xml:space="preserve">-hybridization with one lone pair on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e</m:t>
              </m:r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</w:t>
            </w:r>
            <m:oMath>
              <m:r>
                <w:rPr>
                  <w:rFonts w:ascii="Cambria Math" w:eastAsiaTheme="minorEastAsia" w:hAnsi="Cambria Math"/>
                </w:rPr>
                <m:t>∝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Bond length</m:t>
                  </m:r>
                </m:den>
              </m:f>
            </m:oMath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 of NO&lt;BO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∴</m:t>
              </m:r>
            </m:oMath>
            <w:r>
              <w:rPr>
                <w:rFonts w:ascii="Cambria Math" w:eastAsiaTheme="minorEastAsia" w:hAnsi="Cambria Math"/>
              </w:rPr>
              <w:t xml:space="preserve"> Bond length of NO is greater than the bond length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>.</w:t>
            </w:r>
          </w:p>
          <w:p w:rsidR="00352BCE" w:rsidRPr="008351E8" w:rsidRDefault="00352BCE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Element with atomic number 20 is metal (Ca); it will combine with non-metal.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A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B71D4">
              <w:rPr>
                <w:rFonts w:ascii="Cambria Math" w:hAnsi="Cambria Math"/>
              </w:rPr>
              <w:t>-character increases bond length.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Calculated dipole moment,</w:t>
            </w:r>
          </w:p>
          <w:p w:rsidR="005637B0" w:rsidRPr="00A906B3" w:rsidRDefault="00A14092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=2.0×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m×1.6×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</m:t>
                </m:r>
              </m:oMath>
            </m:oMathPara>
          </w:p>
          <w:p w:rsidR="005637B0" w:rsidRPr="00A906B3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=3.2×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C-m.</m:t>
                </m:r>
              </m:oMath>
            </m:oMathPara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Percentage of ionic character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cal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</m:t>
              </m:r>
            </m:oMath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5.12×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3.2×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-29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×100=16%</m:t>
                </m:r>
              </m:oMath>
            </m:oMathPara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7B71D4" w:rsidRDefault="00A14092" w:rsidP="00C21BC6">
            <w:pPr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5637B0" w:rsidRPr="007B71D4">
              <w:rPr>
                <w:rFonts w:ascii="Cambria Math" w:hAnsi="Cambria Math"/>
              </w:rPr>
              <w:t>involves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637B0" w:rsidRPr="007B71D4">
              <w:rPr>
                <w:rFonts w:ascii="Cambria Math" w:hAnsi="Cambria Math"/>
              </w:rPr>
              <w:t>-hybridization on carbon atoms.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According to molecular orbital theory.</w:t>
            </w:r>
          </w:p>
          <w:p w:rsidR="005637B0" w:rsidRDefault="00A14092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σ1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,σ2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,σ2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, π2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≈π2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b-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a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10-8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=1</m:t>
              </m:r>
            </m:oMath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Bond formation is always exothermic. Compounds of sodium are ionic.</w:t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 case of water, five water molecules are attached together through four hydrogen bonding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Removal of electron is easier in the order of shell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&gt;3&gt;2&gt;1</m:t>
              </m:r>
            </m:oMath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NO</m:t>
              </m:r>
            </m:oMath>
            <w:r>
              <w:rPr>
                <w:rFonts w:ascii="Cambria Math" w:eastAsiaTheme="minorEastAsia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 are 3, 2.5 and 2 respectively.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energy </w:t>
            </w:r>
            <m:oMath>
              <m:r>
                <w:rPr>
                  <w:rFonts w:ascii="Cambria Math" w:eastAsiaTheme="minorEastAsia" w:hAnsi="Cambria Math"/>
                </w:rPr>
                <m:t>∝</m:t>
              </m:r>
            </m:oMath>
            <w:r>
              <w:rPr>
                <w:rFonts w:ascii="Cambria Math" w:eastAsiaTheme="minorEastAsia" w:hAnsi="Cambria Math"/>
              </w:rPr>
              <w:t xml:space="preserve"> bond order.</w:t>
            </w:r>
          </w:p>
          <w:p w:rsidR="006824F7" w:rsidRDefault="006824F7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6824F7" w:rsidRDefault="006824F7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6824F7" w:rsidRPr="008351E8" w:rsidRDefault="006824F7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19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  <w:r w:rsidRPr="00355A12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</w:rPr>
              <w:t xml:space="preserve">F angles of two types are present in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ascii="Cambria Math" w:eastAsiaTheme="minorEastAsia" w:hAnsi="Cambria Math"/>
              </w:rPr>
              <w:t xml:space="preserve"> hybrid orbitals. Since,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shows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ascii="Cambria Math" w:eastAsiaTheme="minorEastAsia" w:hAnsi="Cambria Math"/>
              </w:rPr>
              <w:t xml:space="preserve"> hybridisation as follows, therefore, it exhibits two different F</w:t>
            </w:r>
            <w:r w:rsidRPr="00355A12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</w:rPr>
              <w:t>F angles.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noProof/>
              </w:rPr>
              <w:drawing>
                <wp:inline distT="0" distB="0" distL="0" distR="0">
                  <wp:extent cx="730250" cy="8940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9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>-character</w:t>
            </w:r>
            <m:oMath>
              <m:r>
                <w:rPr>
                  <w:rFonts w:ascii="Cambria Math" w:hAnsi="Cambria Math"/>
                </w:rPr>
                <m:t xml:space="preserve"> ∝ </m:t>
              </m:r>
            </m:oMath>
            <w:r>
              <w:rPr>
                <w:rFonts w:ascii="Cambria Math" w:hAnsi="Cambria Math"/>
              </w:rPr>
              <w:t xml:space="preserve">bond angle 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25%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mbria Math" w:hAnsi="Cambria Math"/>
              </w:rPr>
              <w:t>hybrid orbital), bond angle is 109.</w:t>
            </w:r>
            <m:oMath>
              <m:r>
                <w:rPr>
                  <w:rFonts w:ascii="Cambria Math" w:hAnsi="Cambria Math"/>
                </w:rPr>
                <m:t>5°</m:t>
              </m:r>
            </m:oMath>
            <w:r>
              <w:rPr>
                <w:rFonts w:ascii="Cambria Math" w:hAnsi="Cambria Math"/>
              </w:rPr>
              <w:t xml:space="preserve">, for 33.3%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hybrid orbital),bond angle is </w:t>
            </w:r>
            <m:oMath>
              <m:r>
                <w:rPr>
                  <w:rFonts w:ascii="Cambria Math" w:hAnsi="Cambria Math"/>
                </w:rPr>
                <m:t>120°</m:t>
              </m:r>
            </m:oMath>
            <w:r>
              <w:rPr>
                <w:rFonts w:ascii="Cambria Math" w:hAnsi="Cambria Math"/>
              </w:rPr>
              <w:t xml:space="preserve"> and for 50%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sp</m:t>
              </m:r>
            </m:oMath>
            <w:r>
              <w:rPr>
                <w:rFonts w:ascii="Cambria Math" w:hAnsi="Cambria Math"/>
              </w:rPr>
              <w:t xml:space="preserve"> hybrid orbital ), bond angle is </w:t>
            </w:r>
            <m:oMath>
              <m:r>
                <w:rPr>
                  <w:rFonts w:ascii="Cambria Math" w:hAnsi="Cambria Math"/>
                </w:rPr>
                <m:t>180°</m:t>
              </m:r>
            </m:oMath>
            <w:r>
              <w:rPr>
                <w:rFonts w:ascii="Cambria Math" w:hAnsi="Cambria Math"/>
              </w:rPr>
              <w:t>.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Similarly, when the bond angle decreases below </w:t>
            </w:r>
            <m:oMath>
              <m:r>
                <w:rPr>
                  <w:rFonts w:ascii="Cambria Math" w:hAnsi="Cambria Math"/>
                </w:rPr>
                <m:t>1.9.5°,</m:t>
              </m:r>
            </m:oMath>
            <w:r>
              <w:rPr>
                <w:rFonts w:ascii="Cambria Math" w:hAnsi="Cambria Math"/>
              </w:rPr>
              <w:t>t</w:t>
            </w:r>
            <w:r w:rsidRPr="00B22D19">
              <w:rPr>
                <w:rFonts w:ascii="Cambria Math" w:hAnsi="Cambria Math"/>
              </w:rPr>
              <w:t>he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Pr="00137535">
              <w:rPr>
                <w:rFonts w:ascii="Cambria Math" w:hAnsi="Cambria Math"/>
              </w:rPr>
              <w:t>character will decrease accordingly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Decreasing in angle </w:t>
            </w:r>
            <m:oMath>
              <m:r>
                <w:rPr>
                  <w:rFonts w:ascii="Cambria Math" w:hAnsi="Cambria Math"/>
                </w:rPr>
                <m:t>=120°-109.5°=10.5</m:t>
              </m:r>
            </m:oMath>
            <w:r w:rsidRPr="00B22D19">
              <w:rPr>
                <w:rFonts w:ascii="Cambria Math" w:hAnsi="Cambria Math"/>
              </w:rPr>
              <w:t>°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-character </w:t>
            </w:r>
            <m:oMath>
              <m:r>
                <w:rPr>
                  <w:rFonts w:ascii="Cambria Math" w:hAnsi="Cambria Math"/>
                </w:rPr>
                <m:t>=33.3-25=8.3</m:t>
              </m:r>
            </m:oMath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Actual decrease in bond angle </w:t>
            </w:r>
            <m:oMath>
              <m:r>
                <w:rPr>
                  <w:rFonts w:ascii="Cambria Math" w:hAnsi="Cambria Math"/>
                </w:rPr>
                <m:t>=109.5°-105°=4.5°</m:t>
              </m:r>
            </m:oMath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Expected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>-character</w:t>
            </w:r>
          </w:p>
          <w:p w:rsidR="005637B0" w:rsidRPr="00B15B0A" w:rsidRDefault="005637B0" w:rsidP="00C21BC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8.3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10.5</m:t>
                    </m:r>
                  </m:den>
                </m:f>
                <m:r>
                  <w:rPr>
                    <w:rFonts w:ascii="Cambria Math" w:hAnsi="Cambria Math"/>
                  </w:rPr>
                  <m:t>×4.5=3.56%</m:t>
                </m:r>
              </m:oMath>
            </m:oMathPara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the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-character should decrease by about 3.56%, </w:t>
            </w:r>
            <m:oMath>
              <m:r>
                <w:rPr>
                  <w:rFonts w:ascii="Cambria Math" w:hAnsi="Cambria Math"/>
                </w:rPr>
                <m:t>ie, s</m:t>
              </m:r>
            </m:oMath>
            <w:r>
              <w:rPr>
                <w:rFonts w:ascii="Cambria Math" w:hAnsi="Cambria Math"/>
              </w:rPr>
              <w:t xml:space="preserve">-character </w:t>
            </w:r>
            <m:oMath>
              <m:r>
                <w:rPr>
                  <w:rFonts w:ascii="Cambria Math" w:hAnsi="Cambria Math"/>
                </w:rPr>
                <m:t>=25-3.56=21.44%</m:t>
              </m:r>
            </m:oMath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B has only six electron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Like gets dissolved in like. It is theory.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Ionic compounds are good conductor of electricity in molten or in solution state. However, they are bad-conductor in solid state.</w:t>
            </w:r>
          </w:p>
        </w:tc>
      </w:tr>
      <w:tr w:rsidR="005637B0" w:rsidRPr="00B877BB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In benzene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12σ and 3π</m:t>
              </m:r>
            </m:oMath>
            <w:r>
              <w:rPr>
                <w:rFonts w:ascii="Cambria Math" w:eastAsiaTheme="minorEastAsia" w:hAnsi="Cambria Math"/>
              </w:rPr>
              <w:t xml:space="preserve">bonds are present. The structure of benzene is </w:t>
            </w:r>
          </w:p>
          <w:p w:rsidR="005637B0" w:rsidRPr="00B877BB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433195" cy="181546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2-</m:t>
                  </m:r>
                </m:sup>
              </m:sSubSup>
            </m:oMath>
            <w:r>
              <w:rPr>
                <w:rFonts w:ascii="Cambria Math" w:eastAsiaTheme="minorEastAsia" w:hAnsi="Cambria Math"/>
              </w:rPr>
              <w:t xml:space="preserve"> ion the C-atom undergoes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-hybridisation. It has triangular planar structure. While </w:t>
            </w:r>
            <m:oMath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bSup>
            </m:oMath>
            <w:r w:rsidRPr="00464BDB">
              <w:rPr>
                <w:rFonts w:ascii="Cambria Math" w:eastAsiaTheme="minorEastAsia" w:hAnsi="Cambria Math"/>
              </w:rPr>
              <w:t>and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ascii="Cambria Math" w:eastAsiaTheme="minorEastAsia" w:hAnsi="Cambria Math"/>
              </w:rPr>
              <w:t>have tetrahedral structure.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has trigonal bipyramid geometry.</w:t>
            </w:r>
          </w:p>
        </w:tc>
      </w:tr>
      <w:tr w:rsidR="005637B0" w:rsidRPr="000D227F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has octahedral geometry,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 hybridisation and bond angle is </w:t>
            </w:r>
            <m:oMath>
              <m:r>
                <w:rPr>
                  <w:rFonts w:ascii="Cambria Math" w:eastAsiaTheme="minorEastAsia" w:hAnsi="Cambria Math"/>
                </w:rPr>
                <m:t>90°</m:t>
              </m:r>
            </m:oMath>
          </w:p>
          <w:p w:rsidR="005637B0" w:rsidRDefault="005637B0" w:rsidP="00C21BC6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>
                  <wp:extent cx="1194435" cy="1419225"/>
                  <wp:effectExtent l="19050" t="0" r="571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7B0" w:rsidRPr="005A10C1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% </m:t>
              </m:r>
            </m:oMath>
            <w:r w:rsidRPr="005A10C1">
              <w:rPr>
                <w:rFonts w:ascii="Cambria Math" w:eastAsiaTheme="minorEastAsia" w:hAnsi="Cambria Math"/>
              </w:rPr>
              <w:t xml:space="preserve">of </w:t>
            </w:r>
            <w:r w:rsidRPr="005A10C1">
              <w:rPr>
                <w:rFonts w:ascii="Cambria Math" w:eastAsiaTheme="minorEastAsia" w:hAnsi="Cambria Math"/>
                <w:i/>
              </w:rPr>
              <w:t>d</w:t>
            </w:r>
            <w:r w:rsidRPr="005A10C1">
              <w:rPr>
                <w:rFonts w:ascii="Cambria Math" w:eastAsiaTheme="minorEastAsia" w:hAnsi="Cambria Math"/>
              </w:rPr>
              <w:t>-character</w:t>
            </w:r>
            <m:oMath>
              <m:r>
                <w:rPr>
                  <w:rFonts w:ascii="Cambria Math" w:eastAsiaTheme="minorEastAsia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no.of </m:t>
                      </m:r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-orbitals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total hybridised orbitals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×100</m:t>
              </m:r>
            </m:oMath>
          </w:p>
          <w:p w:rsidR="005637B0" w:rsidRPr="005A10C1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=33%</m:t>
                </m:r>
              </m:oMath>
            </m:oMathPara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 w:rsidRPr="005A10C1">
              <w:rPr>
                <w:rFonts w:ascii="Cambria Math" w:eastAsiaTheme="minorEastAsia" w:hAnsi="Cambria Math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  <w:r w:rsidRPr="005A10C1">
              <w:rPr>
                <w:rFonts w:ascii="Cambria Math" w:eastAsiaTheme="minorEastAsia" w:hAnsi="Cambria Math"/>
              </w:rPr>
              <w:t xml:space="preserve"> are bond angle = </w:t>
            </w:r>
            <m:oMath>
              <m:r>
                <w:rPr>
                  <w:rFonts w:ascii="Cambria Math" w:eastAsiaTheme="minorEastAsia" w:hAnsi="Cambria Math"/>
                </w:rPr>
                <m:t>90°</m:t>
              </m:r>
            </m:oMath>
          </w:p>
          <w:p w:rsidR="005637B0" w:rsidRPr="000D227F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 w:rsidRPr="005A10C1">
              <w:rPr>
                <w:rFonts w:ascii="Cambria Math" w:eastAsiaTheme="minorEastAsia" w:hAnsi="Cambria Math"/>
              </w:rPr>
              <w:t>and</w:t>
            </w:r>
            <w:r w:rsidRPr="005A10C1">
              <w:rPr>
                <w:rFonts w:ascii="Cambria Math" w:eastAsiaTheme="minorEastAsia" w:hAnsi="Cambria Math"/>
                <w:i/>
              </w:rPr>
              <w:t>d</w:t>
            </w:r>
            <w:r w:rsidRPr="005A10C1">
              <w:rPr>
                <w:rFonts w:ascii="Cambria Math" w:eastAsiaTheme="minorEastAsia" w:hAnsi="Cambria Math"/>
              </w:rPr>
              <w:t>-character = 33%</w:t>
            </w:r>
            <w:r>
              <w:rPr>
                <w:rFonts w:ascii="Cambria Math" w:eastAsiaTheme="minorEastAsia" w:hAnsi="Cambria Math"/>
              </w:rPr>
              <w:t>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Head on overlapping give rise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 w:rsidRPr="007B71D4">
              <w:rPr>
                <w:rFonts w:ascii="Cambria Math" w:hAnsi="Cambria Math"/>
              </w:rPr>
              <w:t>-bond formation.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Alleneis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=C=C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Silicate ion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4-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is the basic structural unit of silicates. Silicates are metal derivatives of silicic acid.</w:t>
            </w:r>
          </w:p>
        </w:tc>
      </w:tr>
    </w:tbl>
    <w:p w:rsidR="009B1F10" w:rsidRDefault="009B1F10" w:rsidP="00474580">
      <w:pPr>
        <w:tabs>
          <w:tab w:val="left" w:pos="3267"/>
        </w:tabs>
        <w:spacing w:line="240" w:lineRule="auto"/>
        <w:contextualSpacing/>
        <w:rPr>
          <w:rFonts w:asciiTheme="majorHAnsi" w:hAnsiTheme="majorHAnsi"/>
        </w:rPr>
      </w:pPr>
    </w:p>
    <w:sectPr w:rsidR="009B1F10" w:rsidSect="00F27F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C29" w:rsidRDefault="00893C29" w:rsidP="00577C67">
      <w:pPr>
        <w:spacing w:after="0" w:line="240" w:lineRule="auto"/>
      </w:pPr>
      <w:r>
        <w:separator/>
      </w:r>
    </w:p>
  </w:endnote>
  <w:endnote w:type="continuationSeparator" w:id="1">
    <w:p w:rsidR="00893C29" w:rsidRDefault="00893C29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C29" w:rsidRDefault="00893C29" w:rsidP="00577C67">
      <w:pPr>
        <w:spacing w:after="0" w:line="240" w:lineRule="auto"/>
      </w:pPr>
      <w:r>
        <w:separator/>
      </w:r>
    </w:p>
  </w:footnote>
  <w:footnote w:type="continuationSeparator" w:id="1">
    <w:p w:rsidR="00893C29" w:rsidRDefault="00893C29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140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140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140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97814"/>
    <w:multiLevelType w:val="multilevel"/>
    <w:tmpl w:val="EAB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91138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3595E"/>
    <w:rsid w:val="00040ECA"/>
    <w:rsid w:val="000417DB"/>
    <w:rsid w:val="00041CD8"/>
    <w:rsid w:val="00051A32"/>
    <w:rsid w:val="00052D00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554C1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216B"/>
    <w:rsid w:val="002A4EFC"/>
    <w:rsid w:val="002B1609"/>
    <w:rsid w:val="002C066B"/>
    <w:rsid w:val="002D233F"/>
    <w:rsid w:val="002D5F0E"/>
    <w:rsid w:val="002E36F2"/>
    <w:rsid w:val="002E3FA0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52BCE"/>
    <w:rsid w:val="00360B51"/>
    <w:rsid w:val="00363BD6"/>
    <w:rsid w:val="0036751E"/>
    <w:rsid w:val="00381B11"/>
    <w:rsid w:val="00383DBF"/>
    <w:rsid w:val="003874AB"/>
    <w:rsid w:val="0039338D"/>
    <w:rsid w:val="003A4FB5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74580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797B"/>
    <w:rsid w:val="00550ED0"/>
    <w:rsid w:val="00555F32"/>
    <w:rsid w:val="005620F9"/>
    <w:rsid w:val="005637B0"/>
    <w:rsid w:val="00564F3F"/>
    <w:rsid w:val="00576985"/>
    <w:rsid w:val="00577C67"/>
    <w:rsid w:val="00581851"/>
    <w:rsid w:val="0059745C"/>
    <w:rsid w:val="005A5FDC"/>
    <w:rsid w:val="005B09E7"/>
    <w:rsid w:val="005B4B68"/>
    <w:rsid w:val="005C13A1"/>
    <w:rsid w:val="005C2073"/>
    <w:rsid w:val="005C2D03"/>
    <w:rsid w:val="005E2085"/>
    <w:rsid w:val="005F405A"/>
    <w:rsid w:val="00605A54"/>
    <w:rsid w:val="00613C6E"/>
    <w:rsid w:val="006324EE"/>
    <w:rsid w:val="006375DC"/>
    <w:rsid w:val="00641929"/>
    <w:rsid w:val="006613C0"/>
    <w:rsid w:val="00672073"/>
    <w:rsid w:val="0068011A"/>
    <w:rsid w:val="00681115"/>
    <w:rsid w:val="006824F7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1EE2"/>
    <w:rsid w:val="007358CC"/>
    <w:rsid w:val="007367F8"/>
    <w:rsid w:val="00736DDD"/>
    <w:rsid w:val="00740241"/>
    <w:rsid w:val="00741B39"/>
    <w:rsid w:val="00746ADC"/>
    <w:rsid w:val="007471E7"/>
    <w:rsid w:val="00750F8D"/>
    <w:rsid w:val="00752072"/>
    <w:rsid w:val="007701B7"/>
    <w:rsid w:val="00770C06"/>
    <w:rsid w:val="00771F18"/>
    <w:rsid w:val="00772356"/>
    <w:rsid w:val="00772C0C"/>
    <w:rsid w:val="0077599F"/>
    <w:rsid w:val="00782A68"/>
    <w:rsid w:val="0079015D"/>
    <w:rsid w:val="007911CD"/>
    <w:rsid w:val="0079653C"/>
    <w:rsid w:val="007A29EA"/>
    <w:rsid w:val="007B2DF2"/>
    <w:rsid w:val="007B57F8"/>
    <w:rsid w:val="007C1E14"/>
    <w:rsid w:val="007D4CAD"/>
    <w:rsid w:val="007F22FF"/>
    <w:rsid w:val="0080404B"/>
    <w:rsid w:val="00804FE1"/>
    <w:rsid w:val="0080526A"/>
    <w:rsid w:val="00807351"/>
    <w:rsid w:val="0081176D"/>
    <w:rsid w:val="00812891"/>
    <w:rsid w:val="00814BA9"/>
    <w:rsid w:val="0081553F"/>
    <w:rsid w:val="00815BDC"/>
    <w:rsid w:val="00816741"/>
    <w:rsid w:val="00817650"/>
    <w:rsid w:val="00824FA3"/>
    <w:rsid w:val="008277C8"/>
    <w:rsid w:val="00832B44"/>
    <w:rsid w:val="0083436E"/>
    <w:rsid w:val="008501B0"/>
    <w:rsid w:val="00855A04"/>
    <w:rsid w:val="0086327F"/>
    <w:rsid w:val="00863BCC"/>
    <w:rsid w:val="0086792E"/>
    <w:rsid w:val="008733F9"/>
    <w:rsid w:val="00874669"/>
    <w:rsid w:val="00893C29"/>
    <w:rsid w:val="008A3B4E"/>
    <w:rsid w:val="008E2121"/>
    <w:rsid w:val="008E6E09"/>
    <w:rsid w:val="008F0343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1F10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2F1E"/>
    <w:rsid w:val="00A13988"/>
    <w:rsid w:val="00A14092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0BE9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568E9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485E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0A6B"/>
    <w:rsid w:val="00D41569"/>
    <w:rsid w:val="00D57528"/>
    <w:rsid w:val="00D73121"/>
    <w:rsid w:val="00D77DF0"/>
    <w:rsid w:val="00D821D5"/>
    <w:rsid w:val="00D84059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52092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24785"/>
    <w:rsid w:val="00F27FDA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  <w:rsid w:val="00FE3F69"/>
    <w:rsid w:val="00FF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" strokecolor="none [3212]"/>
    </o:shapedefaults>
    <o:shapelayout v:ext="edit">
      <o:idmap v:ext="edit" data="1"/>
      <o:rules v:ext="edit">
        <o:r id="V:Rule7" type="connector" idref="#_x0000_s1034"/>
        <o:r id="V:Rule8" type="connector" idref="#_x0000_s1048"/>
        <o:r id="V:Rule9" type="connector" idref="#_x0000_s1028"/>
        <o:r id="V:Rule10" type="connector" idref="#_x0000_s1027"/>
        <o:r id="V:Rule11" type="connector" idref="#_x0000_s1045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731E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9672-7E10-42C3-BA40-5009445F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207</cp:revision>
  <cp:lastPrinted>2020-04-27T03:35:00Z</cp:lastPrinted>
  <dcterms:created xsi:type="dcterms:W3CDTF">2017-02-09T03:31:00Z</dcterms:created>
  <dcterms:modified xsi:type="dcterms:W3CDTF">2020-05-07T07:34:00Z</dcterms:modified>
</cp:coreProperties>
</file>