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3: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How will you handle the configuration of your file processing rules (e.g., data validation rules, calculations, transformations, duplication settings, business rules, and stats gathering)?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Defining Configuration Management:</w:t>
      </w:r>
      <w:r w:rsidDel="00000000" w:rsidR="00000000" w:rsidRPr="00000000">
        <w:rPr>
          <w:color w:val="1b1c1d"/>
          <w:rtl w:val="0"/>
        </w:rPr>
        <w:t xml:space="preserve"> This will help us determine how to manage and inject configurations into your framework. Possible approaches include: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Configuration Files:</w:t>
      </w:r>
      <w:r w:rsidDel="00000000" w:rsidR="00000000" w:rsidRPr="00000000">
        <w:rPr>
          <w:color w:val="1b1c1d"/>
          <w:rtl w:val="0"/>
        </w:rPr>
        <w:t xml:space="preserve"> Using formats like YAML or JSON to define rules, parameters, and settings.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  <w:r w:rsidDel="00000000" w:rsidR="00000000" w:rsidRPr="00000000">
        <w:rPr>
          <w:color w:val="1b1c1d"/>
          <w:rtl w:val="0"/>
        </w:rPr>
        <w:t xml:space="preserve"> Storing configurations in a database for more dynamic management.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Environment Variables:</w:t>
      </w:r>
      <w:r w:rsidDel="00000000" w:rsidR="00000000" w:rsidRPr="00000000">
        <w:rPr>
          <w:color w:val="1b1c1d"/>
          <w:rtl w:val="0"/>
        </w:rPr>
        <w:t xml:space="preserve"> Using environment variables for quick configuration changes.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well-defined configuration management strategy will make your framework more flexible and easier to maintain.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addressing this question, we can start to think about how to integrate configuration management into your Hexagonal Architecture, ensuring that the core domain logic remains independent of specific configuration mechanisms.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