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Q4 2024 Financial Report</w:t>
      </w:r>
    </w:p>
    <w:p>
      <w:pPr>
        <w:pStyle w:val="Heading1"/>
      </w:pPr>
      <w:r>
        <w:t>Q4 2024 Financial Report</w:t>
      </w:r>
    </w:p>
    <w:p>
      <w:r/>
      <w:r>
        <w:rPr>
          <w:b/>
        </w:rPr>
        <w:t>Confidential - Internal Use Only</w:t>
      </w:r>
      <w:r/>
    </w:p>
    <w:p>
      <w:pPr>
        <w:pStyle w:val="Heading2"/>
      </w:pPr>
      <w:r>
        <w:t>Executive Summary</w:t>
      </w:r>
    </w:p>
    <w:p>
      <w:r>
        <w:t>The fourth quarter of 2024 showed strong financial performance across all business units, with total revenue reaching $12.8M, representing a 15% increase over Q4 2023. Our strategic initiatives in cost optimization and revenue diversification have yielded significant results.</w:t>
      </w:r>
    </w:p>
    <w:p>
      <w:pPr>
        <w:pStyle w:val="Heading3"/>
      </w:pPr>
      <w:r>
        <w:t>Key Financial Highlights</w:t>
      </w:r>
    </w:p>
    <w:p>
      <w:pPr>
        <w:pStyle w:val="ListBullet"/>
      </w:pPr>
      <w:r>
        <w:t>**Total Revenue**: $12,847,320 (↑15% YoY)</w:t>
      </w:r>
    </w:p>
    <w:p>
      <w:pPr>
        <w:pStyle w:val="ListBullet"/>
      </w:pPr>
      <w:r>
        <w:t>**Operating Income**: $3,156,890 (↑22% YoY)</w:t>
      </w:r>
    </w:p>
    <w:p>
      <w:pPr>
        <w:pStyle w:val="ListBullet"/>
      </w:pPr>
      <w:r>
        <w:t>**Net Profit Margin**: 18.5% (↑2.1% YoY)</w:t>
      </w:r>
    </w:p>
    <w:p>
      <w:pPr>
        <w:pStyle w:val="ListBullet"/>
      </w:pPr>
      <w:r>
        <w:t>**EBITDA**: $4,234,560 (↑19% YoY)</w:t>
      </w:r>
    </w:p>
    <w:p>
      <w:pPr>
        <w:pStyle w:val="ListBullet"/>
      </w:pPr>
      <w:r>
        <w:t>**Cash Flow from Operations**: $3,890,120</w:t>
      </w:r>
    </w:p>
    <w:p>
      <w:pPr>
        <w:pStyle w:val="Heading2"/>
      </w:pPr>
      <w:r>
        <w:t>Revenue Analysis</w:t>
      </w:r>
    </w:p>
    <w:p>
      <w:pPr>
        <w:pStyle w:val="Heading3"/>
      </w:pPr>
      <w:r>
        <w:t>By Business Unit</w:t>
      </w:r>
    </w:p>
    <w:p>
      <w:pPr>
        <w:pStyle w:val="ListBullet"/>
      </w:pPr>
      <w:r>
        <w:t>**Sales Division**: $7,243,890 (56.4% of total revenue)</w:t>
      </w:r>
    </w:p>
    <w:p>
      <w:pPr>
        <w:pStyle w:val="ListBullet"/>
      </w:pPr>
      <w:r>
        <w:t>**Marketing Services**: $2,156,430 (16.8% of total revenue)</w:t>
      </w:r>
    </w:p>
    <w:p>
      <w:pPr>
        <w:pStyle w:val="ListBullet"/>
      </w:pPr>
      <w:r>
        <w:t>**Consulting Services**: $2,023,180 (15.8% of total revenue)</w:t>
      </w:r>
    </w:p>
    <w:p>
      <w:pPr>
        <w:pStyle w:val="ListBullet"/>
      </w:pPr>
      <w:r>
        <w:t>**Digital Solutions**: $1,423,820 (11.1% of total revenue)</w:t>
      </w:r>
    </w:p>
    <w:p>
      <w:pPr>
        <w:pStyle w:val="Heading3"/>
      </w:pPr>
      <w:r>
        <w:t>Geographic Distribution</w:t>
      </w:r>
    </w:p>
    <w:p>
      <w:pPr>
        <w:pStyle w:val="ListBullet"/>
      </w:pPr>
      <w:r>
        <w:t>**North America**: 68% ($8,736,178)</w:t>
      </w:r>
    </w:p>
    <w:p>
      <w:pPr>
        <w:pStyle w:val="ListBullet"/>
      </w:pPr>
      <w:r>
        <w:t>**Europe**: 22% ($2,826,410)</w:t>
      </w:r>
    </w:p>
    <w:p>
      <w:pPr>
        <w:pStyle w:val="ListBullet"/>
      </w:pPr>
      <w:r>
        <w:t>**Asia-Pacific**: 10% ($1,284,732)</w:t>
      </w:r>
    </w:p>
    <w:p>
      <w:pPr>
        <w:pStyle w:val="Heading2"/>
      </w:pPr>
      <w:r>
        <w:t>Expense Analysis</w:t>
      </w:r>
    </w:p>
    <w:p>
      <w:pPr>
        <w:pStyle w:val="Heading3"/>
      </w:pPr>
      <w:r>
        <w:t>Operating Expenses by Department</w:t>
      </w:r>
    </w:p>
    <w:p>
      <w:pPr>
        <w:pStyle w:val="ListBullet"/>
      </w:pPr>
      <w:r>
        <w:t>**Sales &amp; Marketing**: $4,235,680 (33% of revenue)</w:t>
      </w:r>
    </w:p>
    <w:p>
      <w:pPr>
        <w:pStyle w:val="ListBullet"/>
      </w:pPr>
      <w:r>
        <w:t>**R&amp;D**: $2,567,890 (20% of revenue)</w:t>
      </w:r>
    </w:p>
    <w:p>
      <w:pPr>
        <w:pStyle w:val="ListBullet"/>
      </w:pPr>
      <w:r>
        <w:t>**General &amp; Administrative**: $1,923,450 (15% of revenue)</w:t>
      </w:r>
    </w:p>
    <w:p>
      <w:pPr>
        <w:pStyle w:val="ListBullet"/>
      </w:pPr>
      <w:r>
        <w:t>**Operations**: $1,563,410 (12% of revenue)</w:t>
      </w:r>
    </w:p>
    <w:p>
      <w:pPr>
        <w:pStyle w:val="Heading3"/>
      </w:pPr>
      <w:r>
        <w:t>Cost Optimization Initiatives</w:t>
      </w:r>
    </w:p>
    <w:p>
      <w:r>
        <w:t>Our Q4 cost reduction program achieved $890,230 in savings through:</w:t>
      </w:r>
    </w:p>
    <w:p>
      <w:pPr>
        <w:pStyle w:val="ListBullet"/>
      </w:pPr>
      <w:r>
        <w:t>Process automation in Finance and Accounting: $345,120</w:t>
      </w:r>
    </w:p>
    <w:p>
      <w:pPr>
        <w:pStyle w:val="ListBullet"/>
      </w:pPr>
      <w:r>
        <w:t>Vendor contract renegotiation: $298,560</w:t>
      </w:r>
    </w:p>
    <w:p>
      <w:pPr>
        <w:pStyle w:val="ListBullet"/>
      </w:pPr>
      <w:r>
        <w:t>Energy efficiency improvements: $156,780</w:t>
      </w:r>
    </w:p>
    <w:p>
      <w:pPr>
        <w:pStyle w:val="ListBullet"/>
      </w:pPr>
      <w:r>
        <w:t>Software license optimization: $89,770</w:t>
      </w:r>
    </w:p>
    <w:p>
      <w:pPr>
        <w:pStyle w:val="Heading2"/>
      </w:pPr>
      <w:r>
        <w:t>Vendor Analysis</w:t>
      </w:r>
    </w:p>
    <w:p>
      <w:pPr>
        <w:pStyle w:val="Heading3"/>
      </w:pPr>
      <w:r>
        <w:t>Top 5 Vendors by Spend</w:t>
      </w:r>
    </w:p>
    <w:p>
      <w:pPr>
        <w:pStyle w:val="ListNumber"/>
      </w:pPr>
      <w:r>
        <w:t>**TechCorp Solutions**: $456,780 (IT Infrastructure)</w:t>
      </w:r>
    </w:p>
    <w:p>
      <w:pPr>
        <w:pStyle w:val="ListNumber"/>
      </w:pPr>
      <w:r>
        <w:t>**Global Logistics Partners**: $334,920 (Supply Chain)</w:t>
      </w:r>
    </w:p>
    <w:p>
      <w:r>
        <w:t xml:space="preserve">3. </w:t>
      </w:r>
      <w:r>
        <w:rPr>
          <w:b/>
        </w:rPr>
        <w:t>Marketing Dynamics Inc</w:t>
      </w:r>
      <w:r>
        <w:t>: $287,640 (Advertising Services)</w:t>
      </w:r>
    </w:p>
    <w:p>
      <w:r>
        <w:t xml:space="preserve">4. </w:t>
      </w:r>
      <w:r>
        <w:rPr>
          <w:b/>
        </w:rPr>
        <w:t>Professional Services LLC</w:t>
      </w:r>
      <w:r>
        <w:t>: $243,560 (Consulting)</w:t>
      </w:r>
    </w:p>
    <w:p>
      <w:r>
        <w:t xml:space="preserve">5. </w:t>
      </w:r>
      <w:r>
        <w:rPr>
          <w:b/>
        </w:rPr>
        <w:t>Office Solutions Pro</w:t>
      </w:r>
      <w:r>
        <w:t>: $198,430 (Office Supplies &amp; Equipment)</w:t>
      </w:r>
    </w:p>
    <w:p>
      <w:pPr>
        <w:pStyle w:val="Heading3"/>
      </w:pPr>
      <w:r>
        <w:t>Vendor Risk Assessment</w:t>
      </w:r>
    </w:p>
    <w:p>
      <w:pPr>
        <w:pStyle w:val="ListBullet"/>
      </w:pPr>
      <w:r>
        <w:t>12 vendors represent 65% of total spend</w:t>
      </w:r>
    </w:p>
    <w:p>
      <w:pPr>
        <w:pStyle w:val="ListBullet"/>
      </w:pPr>
      <w:r>
        <w:t>Implemented dual-sourcing for critical suppliers</w:t>
      </w:r>
    </w:p>
    <w:p>
      <w:pPr>
        <w:pStyle w:val="ListBullet"/>
      </w:pPr>
      <w:r>
        <w:t>Enhanced vendor performance monitoring system</w:t>
      </w:r>
    </w:p>
    <w:p>
      <w:pPr>
        <w:pStyle w:val="Heading2"/>
      </w:pPr>
      <w:r>
        <w:t>Budget vs. Actual Performance</w:t>
      </w:r>
    </w:p>
    <w:p>
      <w:pPr>
        <w:pStyle w:val="Heading3"/>
      </w:pPr>
      <w:r>
        <w:t>Revenue Performance</w:t>
      </w:r>
    </w:p>
    <w:p>
      <w:pPr>
        <w:pStyle w:val="ListBullet"/>
      </w:pPr>
      <w:r>
        <w:t>**Budget**: $12,200,000</w:t>
      </w:r>
    </w:p>
    <w:p>
      <w:pPr>
        <w:pStyle w:val="ListBullet"/>
      </w:pPr>
      <w:r>
        <w:t>**Actual**: $12,847,320</w:t>
      </w:r>
    </w:p>
    <w:p>
      <w:pPr>
        <w:pStyle w:val="ListBullet"/>
      </w:pPr>
      <w:r>
        <w:t>**Variance**: +$647,320 (+5.3%)</w:t>
      </w:r>
    </w:p>
    <w:p>
      <w:pPr>
        <w:pStyle w:val="Heading3"/>
      </w:pPr>
      <w:r>
        <w:t>Expense Performance</w:t>
      </w:r>
    </w:p>
    <w:p>
      <w:pPr>
        <w:pStyle w:val="ListBullet"/>
      </w:pPr>
      <w:r>
        <w:t>**Budget**: $9,850,000</w:t>
      </w:r>
    </w:p>
    <w:p>
      <w:pPr>
        <w:pStyle w:val="ListBullet"/>
      </w:pPr>
      <w:r>
        <w:t>**Actual**: $9,690,430</w:t>
      </w:r>
    </w:p>
    <w:p>
      <w:pPr>
        <w:pStyle w:val="ListBullet"/>
      </w:pPr>
      <w:r>
        <w:t>**Variance**: -$159,570 (-1.6%)</w:t>
      </w:r>
    </w:p>
    <w:p>
      <w:pPr>
        <w:pStyle w:val="Heading2"/>
      </w:pPr>
      <w:r>
        <w:t>Product Line Analysis</w:t>
      </w:r>
    </w:p>
    <w:p>
      <w:pPr>
        <w:pStyle w:val="Heading3"/>
      </w:pPr>
      <w:r>
        <w:t>Revenue by Product Category</w:t>
      </w:r>
    </w:p>
    <w:p>
      <w:pPr>
        <w:pStyle w:val="ListBullet"/>
      </w:pPr>
      <w:r>
        <w:t>**Enterprise Software**: $4,567,890 (35.5%)</w:t>
      </w:r>
    </w:p>
    <w:p>
      <w:pPr>
        <w:pStyle w:val="ListBullet"/>
      </w:pPr>
      <w:r>
        <w:t>**Professional Services**: $3,234,560 (25.2%)</w:t>
      </w:r>
    </w:p>
    <w:p>
      <w:pPr>
        <w:pStyle w:val="ListBullet"/>
      </w:pPr>
      <w:r>
        <w:t>**Hardware Solutions**: $2,678,910 (20.8%)</w:t>
      </w:r>
    </w:p>
    <w:p>
      <w:pPr>
        <w:pStyle w:val="ListBullet"/>
      </w:pPr>
      <w:r>
        <w:t>**Support &amp; Maintenance**: $2,365,960 (18.4%)</w:t>
      </w:r>
    </w:p>
    <w:p>
      <w:pPr>
        <w:pStyle w:val="Heading3"/>
      </w:pPr>
      <w:r>
        <w:t>Profitability Analysis</w:t>
      </w:r>
    </w:p>
    <w:p>
      <w:pPr>
        <w:pStyle w:val="ListBullet"/>
      </w:pPr>
      <w:r>
        <w:t>**Highest Margin**: Professional Services (42% gross margin)</w:t>
      </w:r>
    </w:p>
    <w:p>
      <w:pPr>
        <w:pStyle w:val="ListBullet"/>
      </w:pPr>
      <w:r>
        <w:t>**Volume Leader**: Enterprise Software (2,340 units sold)</w:t>
      </w:r>
    </w:p>
    <w:p>
      <w:pPr>
        <w:pStyle w:val="ListBullet"/>
      </w:pPr>
      <w:r>
        <w:t>**Growth Leader**: Hardware Solutions (+28% YoY)</w:t>
      </w:r>
    </w:p>
    <w:p>
      <w:pPr>
        <w:pStyle w:val="Heading2"/>
      </w:pPr>
      <w:r>
        <w:t>Financial Ratios &amp; KPIs</w:t>
      </w:r>
    </w:p>
    <w:p>
      <w:pPr>
        <w:pStyle w:val="Heading3"/>
      </w:pPr>
      <w:r>
        <w:t>Profitability Ratios</w:t>
      </w:r>
    </w:p>
    <w:p>
      <w:pPr>
        <w:pStyle w:val="ListBullet"/>
      </w:pPr>
      <w:r>
        <w:t>**Gross Profit Margin**: 64.2%</w:t>
      </w:r>
    </w:p>
    <w:p>
      <w:pPr>
        <w:pStyle w:val="ListBullet"/>
      </w:pPr>
      <w:r>
        <w:t>**Operating Profit Margin**: 24.6%</w:t>
      </w:r>
    </w:p>
    <w:p>
      <w:pPr>
        <w:pStyle w:val="ListBullet"/>
      </w:pPr>
      <w:r>
        <w:t>**Net Profit Margin**: 18.5%</w:t>
      </w:r>
    </w:p>
    <w:p>
      <w:pPr>
        <w:pStyle w:val="ListBullet"/>
      </w:pPr>
      <w:r>
        <w:t>**Return on Assets**: 12.8%</w:t>
      </w:r>
    </w:p>
    <w:p>
      <w:pPr>
        <w:pStyle w:val="ListBullet"/>
      </w:pPr>
      <w:r>
        <w:t>**Return on Equity**: 22.4%</w:t>
      </w:r>
    </w:p>
    <w:p>
      <w:pPr>
        <w:pStyle w:val="Heading3"/>
      </w:pPr>
      <w:r>
        <w:t>Liquidity Ratios</w:t>
      </w:r>
    </w:p>
    <w:p>
      <w:pPr>
        <w:pStyle w:val="ListBullet"/>
      </w:pPr>
      <w:r>
        <w:t>**Current Ratio**: 2.34</w:t>
      </w:r>
    </w:p>
    <w:p>
      <w:pPr>
        <w:pStyle w:val="ListBullet"/>
      </w:pPr>
      <w:r>
        <w:t>**Quick Ratio**: 1.89</w:t>
      </w:r>
    </w:p>
    <w:p>
      <w:pPr>
        <w:pStyle w:val="ListBullet"/>
      </w:pPr>
      <w:r>
        <w:t>**Cash Ratio**: 0.67</w:t>
      </w:r>
    </w:p>
    <w:p>
      <w:pPr>
        <w:pStyle w:val="Heading3"/>
      </w:pPr>
      <w:r>
        <w:t>Efficiency Ratios</w:t>
      </w:r>
    </w:p>
    <w:p>
      <w:pPr>
        <w:pStyle w:val="ListBullet"/>
      </w:pPr>
      <w:r>
        <w:t>**Asset Turnover**: 1.45</w:t>
      </w:r>
    </w:p>
    <w:p>
      <w:pPr>
        <w:pStyle w:val="ListBullet"/>
      </w:pPr>
      <w:r>
        <w:t>**Inventory Turnover**: 8.2</w:t>
      </w:r>
    </w:p>
    <w:p>
      <w:pPr>
        <w:pStyle w:val="ListBullet"/>
      </w:pPr>
      <w:r>
        <w:t>**Receivables Turnover**: 12.6</w:t>
      </w:r>
    </w:p>
    <w:p>
      <w:pPr>
        <w:pStyle w:val="Heading2"/>
      </w:pPr>
      <w:r>
        <w:t>Accounts Receivable Analysis</w:t>
      </w:r>
    </w:p>
    <w:p>
      <w:pPr>
        <w:pStyle w:val="Heading3"/>
      </w:pPr>
      <w:r>
        <w:t>Aging Report</w:t>
      </w:r>
    </w:p>
    <w:p>
      <w:pPr>
        <w:pStyle w:val="ListBullet"/>
      </w:pPr>
      <w:r>
        <w:t>**0-30 days**: $1,234,560 (67%)</w:t>
      </w:r>
    </w:p>
    <w:p>
      <w:pPr>
        <w:pStyle w:val="ListBullet"/>
      </w:pPr>
      <w:r>
        <w:t>**31-60 days**: $456,780 (25%)</w:t>
      </w:r>
    </w:p>
    <w:p>
      <w:pPr>
        <w:pStyle w:val="ListBullet"/>
      </w:pPr>
      <w:r>
        <w:t>**61-90 days**: $123,450 (7%)</w:t>
      </w:r>
    </w:p>
    <w:p>
      <w:pPr>
        <w:pStyle w:val="ListBullet"/>
      </w:pPr>
      <w:r>
        <w:t>**90+ days**: $23,890 (1%)</w:t>
      </w:r>
    </w:p>
    <w:p>
      <w:pPr>
        <w:pStyle w:val="Heading3"/>
      </w:pPr>
      <w:r>
        <w:t>Collection Performance</w:t>
      </w:r>
    </w:p>
    <w:p>
      <w:pPr>
        <w:pStyle w:val="ListBullet"/>
      </w:pPr>
      <w:r>
        <w:t>**Average Days Sales Outstanding**: 28 days</w:t>
      </w:r>
    </w:p>
    <w:p>
      <w:pPr>
        <w:pStyle w:val="ListBullet"/>
      </w:pPr>
      <w:r>
        <w:t>**Collection Rate**: 98.7%</w:t>
      </w:r>
    </w:p>
    <w:p>
      <w:pPr>
        <w:pStyle w:val="ListBullet"/>
      </w:pPr>
      <w:r>
        <w:t>**Bad Debt as % of Sales**: 0.3%</w:t>
      </w:r>
    </w:p>
    <w:p>
      <w:pPr>
        <w:pStyle w:val="Heading2"/>
      </w:pPr>
      <w:r>
        <w:t>Capital Expenditures</w:t>
      </w:r>
    </w:p>
    <w:p>
      <w:pPr>
        <w:pStyle w:val="Heading3"/>
      </w:pPr>
      <w:r>
        <w:t>Q4 2024 Investments</w:t>
      </w:r>
    </w:p>
    <w:p>
      <w:pPr>
        <w:pStyle w:val="ListBullet"/>
      </w:pPr>
      <w:r>
        <w:t>**Technology Infrastructure**: $567,890</w:t>
      </w:r>
    </w:p>
    <w:p>
      <w:pPr>
        <w:pStyle w:val="ListBullet"/>
      </w:pPr>
      <w:r>
        <w:t>**Equipment &amp; Machinery**: $345,670</w:t>
      </w:r>
    </w:p>
    <w:p>
      <w:pPr>
        <w:pStyle w:val="ListBullet"/>
      </w:pPr>
      <w:r>
        <w:t>**Facility Improvements**: $234,560</w:t>
      </w:r>
    </w:p>
    <w:p>
      <w:pPr>
        <w:pStyle w:val="ListBullet"/>
      </w:pPr>
      <w:r>
        <w:t>**Research &amp; Development**: $123,450</w:t>
      </w:r>
    </w:p>
    <w:p>
      <w:pPr>
        <w:pStyle w:val="Heading3"/>
      </w:pPr>
      <w:r>
        <w:t>ROI Analysis</w:t>
      </w:r>
    </w:p>
    <w:p>
      <w:pPr>
        <w:pStyle w:val="ListBullet"/>
      </w:pPr>
      <w:r>
        <w:t>**Expected 3-year ROI**: 185%</w:t>
      </w:r>
    </w:p>
    <w:p>
      <w:pPr>
        <w:pStyle w:val="ListBullet"/>
      </w:pPr>
      <w:r>
        <w:t>**Payback Period**: 2.1 years</w:t>
      </w:r>
    </w:p>
    <w:p>
      <w:pPr>
        <w:pStyle w:val="ListBullet"/>
      </w:pPr>
      <w:r>
        <w:t>**NPV**: $2,345,670</w:t>
      </w:r>
    </w:p>
    <w:p>
      <w:pPr>
        <w:pStyle w:val="Heading2"/>
      </w:pPr>
      <w:r>
        <w:t>Risk Management &amp; Compliance</w:t>
      </w:r>
    </w:p>
    <w:p>
      <w:pPr>
        <w:pStyle w:val="Heading3"/>
      </w:pPr>
      <w:r>
        <w:t>Financial Risks Identified</w:t>
      </w:r>
    </w:p>
    <w:p>
      <w:pPr>
        <w:pStyle w:val="ListNumber"/>
      </w:pPr>
      <w:r>
        <w:t>**Currency Exchange Risk**: $1.2M exposure (EUR/USD)</w:t>
      </w:r>
    </w:p>
    <w:p>
      <w:pPr>
        <w:pStyle w:val="ListNumber"/>
      </w:pPr>
      <w:r>
        <w:t>**Credit Risk**: 3 customers represent 23% of revenue</w:t>
      </w:r>
    </w:p>
    <w:p>
      <w:r>
        <w:t xml:space="preserve">3. </w:t>
      </w:r>
      <w:r>
        <w:rPr>
          <w:b/>
        </w:rPr>
        <w:t>Interest Rate Risk</w:t>
      </w:r>
      <w:r>
        <w:t>: $5M variable rate debt exposure</w:t>
      </w:r>
    </w:p>
    <w:p>
      <w:r>
        <w:t xml:space="preserve">4. </w:t>
      </w:r>
      <w:r>
        <w:rPr>
          <w:b/>
        </w:rPr>
        <w:t>Commodity Price Risk</w:t>
      </w:r>
      <w:r>
        <w:t>: Raw materials cost volatility</w:t>
      </w:r>
    </w:p>
    <w:p>
      <w:pPr>
        <w:pStyle w:val="Heading3"/>
      </w:pPr>
      <w:r>
        <w:t>Mitigation Strategies</w:t>
      </w:r>
    </w:p>
    <w:p>
      <w:pPr>
        <w:pStyle w:val="ListBullet"/>
      </w:pPr>
      <w:r>
        <w:t>Implemented currency hedging for 70% of FX exposure</w:t>
      </w:r>
    </w:p>
    <w:p>
      <w:pPr>
        <w:pStyle w:val="ListBullet"/>
      </w:pPr>
      <w:r>
        <w:t>Enhanced customer credit monitoring</w:t>
      </w:r>
    </w:p>
    <w:p>
      <w:pPr>
        <w:pStyle w:val="ListBullet"/>
      </w:pPr>
      <w:r>
        <w:t>Negotiated interest rate caps on variable debt</w:t>
      </w:r>
    </w:p>
    <w:p>
      <w:pPr>
        <w:pStyle w:val="ListBullet"/>
      </w:pPr>
      <w:r>
        <w:t>Secured fixed-price contracts for key materials</w:t>
      </w:r>
    </w:p>
    <w:p>
      <w:pPr>
        <w:pStyle w:val="Heading2"/>
      </w:pPr>
      <w:r>
        <w:t>Audit &amp; Compliance</w:t>
      </w:r>
    </w:p>
    <w:p>
      <w:pPr>
        <w:pStyle w:val="Heading3"/>
      </w:pPr>
      <w:r>
        <w:t>External Audit Results</w:t>
      </w:r>
    </w:p>
    <w:p>
      <w:pPr>
        <w:pStyle w:val="ListBullet"/>
      </w:pPr>
      <w:r>
        <w:t>**Clean Opinion** from independent auditors</w:t>
      </w:r>
    </w:p>
    <w:p>
      <w:pPr>
        <w:pStyle w:val="ListBullet"/>
      </w:pPr>
      <w:r>
        <w:t>**Zero Material Weaknesses** identified</w:t>
      </w:r>
    </w:p>
    <w:p>
      <w:pPr>
        <w:pStyle w:val="ListBullet"/>
      </w:pPr>
      <w:r>
        <w:t>**Controls Testing**: 100% pass rate</w:t>
      </w:r>
    </w:p>
    <w:p>
      <w:pPr>
        <w:pStyle w:val="ListBullet"/>
      </w:pPr>
      <w:r>
        <w:t>**Compliance Score**: 98.5%</w:t>
      </w:r>
    </w:p>
    <w:p>
      <w:pPr>
        <w:pStyle w:val="Heading3"/>
      </w:pPr>
      <w:r>
        <w:t>Regulatory Compliance</w:t>
      </w:r>
    </w:p>
    <w:p>
      <w:pPr>
        <w:pStyle w:val="ListBullet"/>
      </w:pPr>
      <w:r>
        <w:t>SOX 404 compliance maintained</w:t>
      </w:r>
    </w:p>
    <w:p>
      <w:pPr>
        <w:pStyle w:val="ListBullet"/>
      </w:pPr>
      <w:r>
        <w:t>Tax obligations current in all jurisdictions</w:t>
      </w:r>
    </w:p>
    <w:p>
      <w:pPr>
        <w:pStyle w:val="ListBullet"/>
      </w:pPr>
      <w:r>
        <w:t>Environmental compliance at 100%</w:t>
      </w:r>
    </w:p>
    <w:p>
      <w:pPr>
        <w:pStyle w:val="ListBullet"/>
      </w:pPr>
      <w:r>
        <w:t>Data privacy regulations (GDPR, CCPA) compliant</w:t>
      </w:r>
    </w:p>
    <w:p>
      <w:pPr>
        <w:pStyle w:val="Heading2"/>
      </w:pPr>
      <w:r>
        <w:t>Forecasting &amp; Projections</w:t>
      </w:r>
    </w:p>
    <w:p>
      <w:pPr>
        <w:pStyle w:val="Heading3"/>
      </w:pPr>
      <w:r>
        <w:t>Q1 2025 Outlook</w:t>
      </w:r>
    </w:p>
    <w:p>
      <w:pPr>
        <w:pStyle w:val="ListBullet"/>
      </w:pPr>
      <w:r>
        <w:t>**Revenue Projection**: $13.2M (+2.8% QoQ)</w:t>
      </w:r>
    </w:p>
    <w:p>
      <w:pPr>
        <w:pStyle w:val="ListBullet"/>
      </w:pPr>
      <w:r>
        <w:t>**Operating Margin Target**: 25.5%</w:t>
      </w:r>
    </w:p>
    <w:p>
      <w:pPr>
        <w:pStyle w:val="ListBullet"/>
      </w:pPr>
      <w:r>
        <w:t>**Capital Expenditure Budget**: $1.2M</w:t>
      </w:r>
    </w:p>
    <w:p>
      <w:pPr>
        <w:pStyle w:val="ListBullet"/>
      </w:pPr>
      <w:r>
        <w:t>**Headcount Growth**: +15 FTEs</w:t>
      </w:r>
    </w:p>
    <w:p>
      <w:pPr>
        <w:pStyle w:val="Heading3"/>
      </w:pPr>
      <w:r>
        <w:t>Full Year 2025 Targets</w:t>
      </w:r>
    </w:p>
    <w:p>
      <w:pPr>
        <w:pStyle w:val="ListBullet"/>
      </w:pPr>
      <w:r>
        <w:t>**Revenue Goal**: $55M (+7.5% YoY)</w:t>
      </w:r>
    </w:p>
    <w:p>
      <w:pPr>
        <w:pStyle w:val="ListBullet"/>
      </w:pPr>
      <w:r>
        <w:t>**Operating Income Target**: $14M</w:t>
      </w:r>
    </w:p>
    <w:p>
      <w:pPr>
        <w:pStyle w:val="ListBullet"/>
      </w:pPr>
      <w:r>
        <w:t>**EBITDA Target**: $17.5M</w:t>
      </w:r>
    </w:p>
    <w:p>
      <w:pPr>
        <w:pStyle w:val="ListBullet"/>
      </w:pPr>
      <w:r>
        <w:t>**Free Cash Flow Target**: $12M</w:t>
      </w:r>
    </w:p>
    <w:p>
      <w:pPr>
        <w:pStyle w:val="Heading2"/>
      </w:pPr>
      <w:r>
        <w:t>Recommendations</w:t>
      </w:r>
    </w:p>
    <w:p>
      <w:pPr>
        <w:pStyle w:val="Heading3"/>
      </w:pPr>
      <w:r>
        <w:t>Strategic Initiatives for 2025</w:t>
      </w:r>
    </w:p>
    <w:p>
      <w:pPr>
        <w:pStyle w:val="ListNumber"/>
      </w:pPr>
      <w:r>
        <w:t>**Digital Transformation**: Invest $2M in automation technologies</w:t>
      </w:r>
    </w:p>
    <w:p>
      <w:pPr>
        <w:pStyle w:val="ListNumber"/>
      </w:pPr>
      <w:r>
        <w:t>**Market Expansion**: Enter 2 new geographic markets</w:t>
      </w:r>
    </w:p>
    <w:p>
      <w:r>
        <w:t xml:space="preserve">3. </w:t>
      </w:r>
      <w:r>
        <w:rPr>
          <w:b/>
        </w:rPr>
        <w:t>Product Innovation</w:t>
      </w:r>
      <w:r>
        <w:t>: Launch 3 new product lines</w:t>
      </w:r>
    </w:p>
    <w:p>
      <w:r>
        <w:t xml:space="preserve">4. </w:t>
      </w:r>
      <w:r>
        <w:rPr>
          <w:b/>
        </w:rPr>
        <w:t>Operational Excellence</w:t>
      </w:r>
      <w:r>
        <w:t>: Achieve 3% cost reduction target</w:t>
      </w:r>
    </w:p>
    <w:p>
      <w:pPr>
        <w:pStyle w:val="Heading3"/>
      </w:pPr>
      <w:r>
        <w:t>Financial Controls Enhancement</w:t>
      </w:r>
    </w:p>
    <w:p>
      <w:pPr>
        <w:pStyle w:val="ListNumber"/>
      </w:pPr>
      <w:r>
        <w:t>Implement real-time expense monitoring system</w:t>
      </w:r>
    </w:p>
    <w:p>
      <w:pPr>
        <w:pStyle w:val="ListNumber"/>
      </w:pPr>
      <w:r>
        <w:t>Enhance vendor payment automation</w:t>
      </w:r>
    </w:p>
    <w:p>
      <w:r>
        <w:t>3. Strengthen cash flow forecasting capabilities</w:t>
      </w:r>
    </w:p>
    <w:p>
      <w:r>
        <w:t>4. Improve financial reporting automation</w:t>
      </w:r>
    </w:p>
    <w:p>
      <w:r/>
      <w:r>
        <w:rPr>
          <w:b/>
        </w:rPr>
        <w:t>Prepared by</w:t>
      </w:r>
      <w:r>
        <w:t>: Finance Department</w:t>
      </w:r>
    </w:p>
    <w:p>
      <w:r/>
      <w:r>
        <w:rPr>
          <w:b/>
        </w:rPr>
        <w:t>Date</w:t>
      </w:r>
      <w:r>
        <w:t>: January 15, 2025</w:t>
      </w:r>
    </w:p>
    <w:p>
      <w:r/>
      <w:r>
        <w:rPr>
          <w:b/>
        </w:rPr>
        <w:t>Review Cycle</w:t>
      </w:r>
      <w:r>
        <w:t>: Quarterly</w:t>
      </w:r>
    </w:p>
    <w:p>
      <w:r/>
      <w:r>
        <w:rPr>
          <w:b/>
        </w:rPr>
        <w:t>Next Review</w:t>
      </w:r>
      <w:r>
        <w:t>: April 15, 2025</w:t>
      </w:r>
    </w:p>
    <w:p>
      <w:r/>
      <w:r>
        <w:rPr>
          <w:b/>
        </w:rPr>
        <w:t>Document Classification</w:t>
      </w:r>
      <w:r>
        <w:t>: Confidential</w:t>
      </w:r>
    </w:p>
    <w:p>
      <w:r/>
      <w:r>
        <w:rPr>
          <w:b/>
        </w:rPr>
        <w:t>Distribution</w:t>
      </w:r>
      <w:r>
        <w:t>: C-Level Executives, Board Members, Department Heads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