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Vendor Management Policy</w:t>
      </w:r>
    </w:p>
    <w:p>
      <w:pPr>
        <w:pStyle w:val="Heading1"/>
      </w:pPr>
      <w:r>
        <w:t>Vendor Management Policy 2025</w:t>
      </w:r>
    </w:p>
    <w:p>
      <w:pPr>
        <w:pStyle w:val="Heading2"/>
      </w:pPr>
      <w:r>
        <w:t>Overview</w:t>
      </w:r>
    </w:p>
    <w:p>
      <w:r>
        <w:t>This policy establishes guidelines for vendor selection, management, and evaluation to ensure cost-effectiveness, quality service delivery, and risk mitigation.</w:t>
      </w:r>
    </w:p>
    <w:p>
      <w:pPr>
        <w:pStyle w:val="Heading2"/>
      </w:pPr>
      <w:r>
        <w:t>Vendor Selection Criteria</w:t>
      </w:r>
    </w:p>
    <w:p>
      <w:pPr>
        <w:pStyle w:val="ListBullet"/>
      </w:pPr>
      <w:r>
        <w:t>Financial stability and creditworthiness</w:t>
      </w:r>
    </w:p>
    <w:p>
      <w:pPr>
        <w:pStyle w:val="ListBullet"/>
      </w:pPr>
      <w:r>
        <w:t>Technical capabilities and expertise</w:t>
      </w:r>
    </w:p>
    <w:p>
      <w:pPr>
        <w:pStyle w:val="ListBullet"/>
      </w:pPr>
      <w:r>
        <w:t>Compliance with security and regulatory requirements</w:t>
      </w:r>
    </w:p>
    <w:p>
      <w:pPr>
        <w:pStyle w:val="ListBullet"/>
      </w:pPr>
      <w:r>
        <w:t>Cost competitiveness and value proposition</w:t>
      </w:r>
    </w:p>
    <w:p>
      <w:pPr>
        <w:pStyle w:val="ListBullet"/>
      </w:pPr>
      <w:r>
        <w:t>References from similar organizations</w:t>
      </w:r>
    </w:p>
    <w:p>
      <w:pPr>
        <w:pStyle w:val="Heading2"/>
      </w:pPr>
      <w:r>
        <w:t>Key Vendor Categories</w:t>
      </w:r>
    </w:p>
    <w:p>
      <w:pPr>
        <w:pStyle w:val="Heading3"/>
      </w:pPr>
      <w:r>
        <w:t>Technology Vendors</w:t>
      </w:r>
    </w:p>
    <w:p>
      <w:pPr>
        <w:pStyle w:val="ListBullet"/>
      </w:pPr>
      <w:r>
        <w:t>TechCorp Solutions: $456,780 annually (IT Infrastructure)</w:t>
      </w:r>
    </w:p>
    <w:p>
      <w:pPr>
        <w:pStyle w:val="ListBullet"/>
      </w:pPr>
      <w:r>
        <w:t>CloudTech Systems: $234,560 annually (Cloud Services)</w:t>
      </w:r>
    </w:p>
    <w:p>
      <w:pPr>
        <w:pStyle w:val="ListBullet"/>
      </w:pPr>
      <w:r>
        <w:t>Security Partners Inc: $189,340 annually (Cybersecurity)</w:t>
      </w:r>
    </w:p>
    <w:p>
      <w:pPr>
        <w:pStyle w:val="Heading3"/>
      </w:pPr>
      <w:r>
        <w:t>Professional Services</w:t>
      </w:r>
    </w:p>
    <w:p>
      <w:pPr>
        <w:pStyle w:val="ListBullet"/>
      </w:pPr>
      <w:r>
        <w:t>Global Logistics Partners: $334,920 annually (Supply Chain)</w:t>
      </w:r>
    </w:p>
    <w:p>
      <w:pPr>
        <w:pStyle w:val="ListBullet"/>
      </w:pPr>
      <w:r>
        <w:t>Professional Services LLC: $243,560 annually (Consulting)</w:t>
      </w:r>
    </w:p>
    <w:p>
      <w:pPr>
        <w:pStyle w:val="ListBullet"/>
      </w:pPr>
      <w:r>
        <w:t>Legal Advisory Group: $156,780 annually (Legal Services)</w:t>
      </w:r>
    </w:p>
    <w:p>
      <w:pPr>
        <w:pStyle w:val="Heading2"/>
      </w:pPr>
      <w:r>
        <w:t>Vendor Performance Metrics</w:t>
      </w:r>
    </w:p>
    <w:p>
      <w:pPr>
        <w:pStyle w:val="ListBullet"/>
      </w:pPr>
      <w:r>
        <w:t>Service Level Agreement (SLA) compliance: 98%+ target</w:t>
      </w:r>
    </w:p>
    <w:p>
      <w:pPr>
        <w:pStyle w:val="ListBullet"/>
      </w:pPr>
      <w:r>
        <w:t>Cost management: Within 5% of budget</w:t>
      </w:r>
    </w:p>
    <w:p>
      <w:pPr>
        <w:pStyle w:val="ListBullet"/>
      </w:pPr>
      <w:r>
        <w:t>Quality scores: 4.0+ out of 5.0</w:t>
      </w:r>
    </w:p>
    <w:p>
      <w:pPr>
        <w:pStyle w:val="ListBullet"/>
      </w:pPr>
      <w:r>
        <w:t>Response time: 95% within agreed timeframes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