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SERVICE AGREEMENT - GLOBAL LOGISTICS PARTNERS</w:t>
      </w:r>
    </w:p>
    <w:p>
      <w:pPr>
        <w:pStyle w:val="Heading1"/>
      </w:pPr>
      <w:r>
        <w:t>Contract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Vendor Name:</w:t>
            </w:r>
          </w:p>
        </w:tc>
        <w:tc>
          <w:tcPr>
            <w:tcW w:type="dxa" w:w="4320"/>
          </w:tcPr>
          <w:p>
            <w:r>
              <w:t>Global Logistics Partners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Service Category:</w:t>
            </w:r>
          </w:p>
        </w:tc>
        <w:tc>
          <w:tcPr>
            <w:tcW w:type="dxa" w:w="4320"/>
          </w:tcPr>
          <w:p>
            <w:r>
              <w:t>Supply Chain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Annual Contract Value:</w:t>
            </w:r>
          </w:p>
        </w:tc>
        <w:tc>
          <w:tcPr>
            <w:tcW w:type="dxa" w:w="4320"/>
          </w:tcPr>
          <w:p>
            <w:r>
              <w:t>$334,920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Contract Period:</w:t>
            </w:r>
          </w:p>
        </w:tc>
        <w:tc>
          <w:tcPr>
            <w:tcW w:type="dxa" w:w="4320"/>
          </w:tcPr>
          <w:p>
            <w:r>
              <w:t>2024-03-15 to 2027-03-14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Terms:</w:t>
            </w:r>
          </w:p>
        </w:tc>
        <w:tc>
          <w:tcPr>
            <w:tcW w:type="dxa" w:w="4320"/>
          </w:tcPr>
          <w:p>
            <w:r>
              <w:t>Net 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Primary Contact:</w:t>
            </w:r>
          </w:p>
        </w:tc>
        <w:tc>
          <w:tcPr>
            <w:tcW w:type="dxa" w:w="4320"/>
          </w:tcPr>
          <w:p>
            <w:r>
              <w:t>Michael Chen, Account Manager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Phone:</w:t>
            </w:r>
          </w:p>
        </w:tc>
        <w:tc>
          <w:tcPr>
            <w:tcW w:type="dxa" w:w="4320"/>
          </w:tcPr>
          <w:p>
            <w:r>
              <w:t>(555) 234-5678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Email:</w:t>
            </w:r>
          </w:p>
        </w:tc>
        <w:tc>
          <w:tcPr>
            <w:tcW w:type="dxa" w:w="4320"/>
          </w:tcPr>
          <w:p>
            <w:r>
              <w:t>michael.chen@globallogistics.com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Address:</w:t>
            </w:r>
          </w:p>
        </w:tc>
        <w:tc>
          <w:tcPr>
            <w:tcW w:type="dxa" w:w="4320"/>
          </w:tcPr>
          <w:p>
            <w:r>
              <w:t>5678 Shipping Lane, Los Angeles, CA 90210</w:t>
            </w:r>
          </w:p>
        </w:tc>
      </w:tr>
    </w:tbl>
    <w:p>
      <w:pPr>
        <w:pStyle w:val="Heading1"/>
      </w:pPr>
      <w:r>
        <w:t>Services Provided</w:t>
      </w:r>
    </w:p>
    <w:p>
      <w:pPr>
        <w:pStyle w:val="ListBullet"/>
      </w:pPr>
      <w:r>
        <w:t>• Freight Management</w:t>
      </w:r>
    </w:p>
    <w:p>
      <w:pPr>
        <w:pStyle w:val="ListBullet"/>
      </w:pPr>
      <w:r>
        <w:t>• Warehousing</w:t>
      </w:r>
    </w:p>
    <w:p>
      <w:pPr>
        <w:pStyle w:val="ListBullet"/>
      </w:pPr>
      <w:r>
        <w:t>• Distribution</w:t>
      </w:r>
    </w:p>
    <w:p>
      <w:pPr>
        <w:pStyle w:val="ListBullet"/>
      </w:pPr>
      <w:r>
        <w:t>• Customs Clearance</w:t>
      </w:r>
    </w:p>
    <w:p>
      <w:pPr>
        <w:pStyle w:val="Heading1"/>
      </w:pPr>
      <w:r>
        <w:t>Terms and Conditions</w:t>
      </w:r>
    </w:p>
    <w:p>
      <w:pPr>
        <w:pStyle w:val="ListNumber"/>
      </w:pPr>
      <w:r>
        <w:t>Service Level Agreement: Vendor agrees to maintain 99.5% uptime for all services.</w:t>
      </w:r>
    </w:p>
    <w:p>
      <w:pPr>
        <w:pStyle w:val="ListNumber"/>
      </w:pPr>
      <w:r>
        <w:t>Performance Standards: All deliverables must meet agreed-upon quality standards.</w:t>
      </w:r>
    </w:p>
    <w:p>
      <w:pPr>
        <w:pStyle w:val="ListNumber"/>
      </w:pPr>
      <w:r>
        <w:t>Confidentiality: Both parties agree to maintain confidentiality of proprietary information.</w:t>
      </w:r>
    </w:p>
    <w:p>
      <w:pPr>
        <w:pStyle w:val="ListNumber"/>
      </w:pPr>
      <w:r>
        <w:t>Liability: Vendor liability is limited to the annual contract value.</w:t>
      </w:r>
    </w:p>
    <w:p>
      <w:pPr>
        <w:pStyle w:val="ListNumber"/>
      </w:pPr>
      <w:r>
        <w:t>Force Majeure: Neither party shall be liable for delays due to circumstances beyond their control.</w:t>
      </w:r>
    </w:p>
    <w:p>
      <w:pPr>
        <w:pStyle w:val="ListNumber"/>
      </w:pPr>
      <w:r>
        <w:t>Termination: Either party may terminate with 60 days written notice.</w:t>
      </w:r>
    </w:p>
    <w:p>
      <w:pPr>
        <w:pStyle w:val="ListNumber"/>
      </w:pPr>
      <w:r>
        <w:t>Governing Law: This agreement is governed by the laws of the State of California.</w:t>
      </w:r>
    </w:p>
    <w:p>
      <w:pPr>
        <w:pStyle w:val="Heading1"/>
      </w:pPr>
      <w:r>
        <w:t>Return Policy</w:t>
      </w:r>
    </w:p>
    <w:p>
      <w:r>
        <w:t>Damaged goods replaced within 48 hours</w:t>
      </w:r>
    </w:p>
    <w:p>
      <w:pPr>
        <w:pStyle w:val="Heading1"/>
      </w:pPr>
      <w:r>
        <w:t>Payment Terms</w:t>
      </w:r>
    </w:p>
    <w:p>
      <w:r>
        <w:br/>
        <w:t xml:space="preserve">    Payment Schedule: Net 15 from invoice date</w:t>
        <w:br/>
        <w:t xml:space="preserve">    Invoicing: Monthly invoices due by the 5th of each month</w:t>
        <w:br/>
        <w:t xml:space="preserve">    Late Fees: 1.5% per month on overdue amounts</w:t>
        <w:br/>
        <w:t xml:space="preserve">    Currency: All payments in USD</w:t>
        <w:br/>
        <w:t xml:space="preserve">    Method: ACH transfer or check payment accepted</w:t>
        <w:br/>
        <w:t xml:space="preserve">    </w:t>
      </w:r>
    </w:p>
    <w:p>
      <w:pPr>
        <w:pStyle w:val="Heading1"/>
      </w:pPr>
      <w:r>
        <w:t>Renewal Terms</w:t>
      </w:r>
    </w:p>
    <w:p>
      <w:r>
        <w:br/>
        <w:t xml:space="preserve">    This agreement may be renewed for additional one-year terms by mutual written consent.</w:t>
        <w:br/>
        <w:t xml:space="preserve">    Pricing adjustments may apply based on market conditions and service modifications.</w:t>
        <w:br/>
        <w:t xml:space="preserve">    Renewal notice must be provided 90 days prior to contract expiration.</w:t>
        <w:br/>
        <w:t xml:space="preserve">    </w:t>
      </w:r>
    </w:p>
    <w:p>
      <w:pPr>
        <w:pStyle w:val="Heading1"/>
      </w:pPr>
      <w:r>
        <w:t>Authorized Signatures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CLIENT: SF AI Demo Company</w:t>
            </w:r>
          </w:p>
        </w:tc>
        <w:tc>
          <w:tcPr>
            <w:tcW w:type="dxa" w:w="4320"/>
          </w:tcPr>
          <w:p>
            <w:r>
              <w:t>VENDOR: Global Logistics Partners</w:t>
            </w:r>
          </w:p>
        </w:tc>
      </w:tr>
      <w:tr>
        <w:tc>
          <w:tcPr>
            <w:tcW w:type="dxa" w:w="4320"/>
          </w:tcPr>
          <w:p>
            <w:r>
              <w:t>Signature: _________________________</w:t>
            </w:r>
          </w:p>
        </w:tc>
        <w:tc>
          <w:tcPr>
            <w:tcW w:type="dxa" w:w="4320"/>
          </w:tcPr>
          <w:p>
            <w:r>
              <w:t>Signature: _________________________</w:t>
            </w:r>
          </w:p>
        </w:tc>
      </w:tr>
      <w:tr>
        <w:tc>
          <w:tcPr>
            <w:tcW w:type="dxa" w:w="4320"/>
          </w:tcPr>
          <w:p>
            <w:r>
              <w:t>Name: John Smith, CFO</w:t>
            </w:r>
          </w:p>
        </w:tc>
        <w:tc>
          <w:tcPr>
            <w:tcW w:type="dxa" w:w="4320"/>
          </w:tcPr>
          <w:p>
            <w:r>
              <w:t>Name: Michael Chen, Account Manager</w:t>
            </w:r>
          </w:p>
        </w:tc>
      </w:tr>
      <w:tr>
        <w:tc>
          <w:tcPr>
            <w:tcW w:type="dxa" w:w="4320"/>
          </w:tcPr>
          <w:p>
            <w:r>
              <w:t>Date: July 27, 2025</w:t>
            </w:r>
          </w:p>
        </w:tc>
        <w:tc>
          <w:tcPr>
            <w:tcW w:type="dxa" w:w="4320"/>
          </w:tcPr>
          <w:p>
            <w:r>
              <w:t>Date: July 27, 2025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