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6038850" cy="5824008"/>
            <wp:effectExtent b="0" l="0" r="0" t="0"/>
            <wp:docPr descr="OpenAI_Photography_2026_04" id="1" name="image1.png"/>
            <a:graphic>
              <a:graphicData uri="http://schemas.openxmlformats.org/drawingml/2006/picture">
                <pic:pic>
                  <pic:nvPicPr>
                    <pic:cNvPr descr="OpenAI_Photography_2026_04" id="0" name="image1.png"/>
                    <pic:cNvPicPr preferRelativeResize="0"/>
                  </pic:nvPicPr>
                  <pic:blipFill>
                    <a:blip r:embed="rId7"/>
                    <a:srcRect b="1779" l="0" r="0" t="1779"/>
                    <a:stretch>
                      <a:fillRect/>
                    </a:stretch>
                  </pic:blipFill>
                  <pic:spPr>
                    <a:xfrm>
                      <a:off x="0" y="0"/>
                      <a:ext cx="6038850" cy="5824008"/>
                    </a:xfrm>
                    <a:prstGeom prst="rect"/>
                    <a:ln/>
                  </pic:spPr>
                </pic:pic>
              </a:graphicData>
            </a:graphic>
          </wp:inline>
        </w:drawing>
      </w: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Pr>
          <w:rtl w:val="0"/>
        </w:rPr>
      </w:r>
    </w:p>
    <w:p w14:paraId="00000003">
      <w:pPr>
        <w:pStyle w:val="Title"/>
        <w:keepNext w:val="1"/>
        <w:spacing w:after="100" w:line="278.00000000000006" w:lineRule="auto"/>
        <w:rPr/>
      </w:pPr>
      <w:bookmarkStart w:colFirst="0" w:colLast="0" w:name="_heading=h.t76axsj6ui55" w:id="0"/>
      <w:bookmarkEnd w:id="0"/>
      <w:r>
        <w:rPr>
          <w:vertAlign w:val="baseline"/>
          <w:rtl w:val="0"/>
        </w:rPr>
        <w:t xml:space="preserve">FHIR mapping</w:t>
      </w:r>
      <w:r>
        <w:rPr>
          <w:rtl w:val="0"/>
        </w:rPr>
      </w:r>
    </w:p>
    <w:tbl>
      <w:tblPr>
        <w:tblStyle w:val="Table1"/>
        <w:tblW w:w="9360.0" w:type="dxa"/>
        <w:jc w:val="left"/>
        <w:tblLayout w:type="fixed"/>
        <w:tblLook w:val="0600"/>
      </w:tblPr>
      <w:tblGrid>
        <w:gridCol w:w="4305"/>
        <w:gridCol w:w="901.6666666666654"/>
        <w:gridCol w:w="4153.333333333335"/>
        <w:tblGridChange w:id="0">
          <w:tblGrid>
            <w:gridCol w:w="4305"/>
            <w:gridCol w:w="901.6666666666654"/>
            <w:gridCol w:w="4153.333333333335"/>
          </w:tblGrid>
        </w:tblGridChange>
      </w:tblGrid>
      <w:tr>
        <w:trPr>
          <w:cantSplit w:val="1"/>
          <w:tblHeader w:val="0"/>
        </w:trPr>
        <w:tc>
          <w:tcPr>
            <w:tcMar>
              <w:top w:w="0.0" w:type="dxa"/>
              <w:left w:w="0.0" w:type="dxa"/>
              <w:bottom w:w="0.0" w:type="dxa"/>
              <w:right w:w="0.0" w:type="dxa"/>
            </w:tcMar>
          </w:tcPr>
          <w:p w14:paraId="00000004">
            <w:pPr>
              <w:spacing w:after="0" w:line="240" w:lineRule="auto"/>
              <w:rPr>
                <w:color w:val="666666"/>
              </w:rPr>
            </w:pPr>
            <w:r>
              <w:rPr>
                <w:color w:val="666666"/>
                <w:rtl w:val="0"/>
              </w:rPr>
              <w:t xml:space="preserve">Patient and Appointment</w:t>
              <w:br/>
              <w:t>Team C • Milestone 2</w:t>
            </w:r>
          </w:p>
        </w:tc>
        <w:tc>
          <w:tcPr>
            <w:tcMar>
              <w:top w:w="0.0" w:type="dxa"/>
              <w:left w:w="0.0" w:type="dxa"/>
              <w:bottom w:w="0.0" w:type="dxa"/>
              <w:right w:w="0.0" w:type="dxa"/>
            </w:tcMar>
          </w:tcPr>
          <w:p w14:paraId="00000005">
            <w:pPr>
              <w:spacing w:after="0" w:line="240" w:lineRule="auto"/>
              <w:rPr>
                <w:color w:val="666666"/>
              </w:rPr>
            </w:pPr>
            <w:r>
              <w:rPr>
                <w:rtl w:val="0"/>
              </w:rPr>
            </w:r>
          </w:p>
        </w:tc>
        <w:tc>
          <w:tcPr>
            <w:tcMar>
              <w:top w:w="0.0" w:type="dxa"/>
              <w:left w:w="0.0" w:type="dxa"/>
              <w:bottom w:w="0.0" w:type="dxa"/>
              <w:right w:w="0.0" w:type="dxa"/>
            </w:tcMar>
          </w:tcPr>
          <w:p w14:paraId="00000006">
            <w:pPr>
              <w:spacing w:after="0" w:line="240" w:lineRule="auto"/>
              <w:rPr>
                <w:color w:val="666666"/>
              </w:rPr>
            </w:pPr>
            <w:r>
              <w:rPr>
                <w:color w:val="666666"/>
                <w:rtl w:val="0"/>
              </w:rPr>
              <w:t xml:space="preserve">For Terence Boyce</w:t>
              <w:br/>
              <w:t>Draft • September 17, 2026</w:t>
            </w:r>
          </w:p>
          <w:p w14:paraId="00000007">
            <w:pPr>
              <w:spacing w:after="0" w:line="240" w:lineRule="auto"/>
              <w:rPr>
                <w:color w:val="666666"/>
              </w:rPr>
            </w:pPr>
            <w:r>
              <w:rPr>
                <w:color w:val="666666"/>
                <w:rtl w:val="0"/>
              </w:rPr>
              <w:t xml:space="preserve"/>
            </w:r>
          </w:p>
        </w:tc>
      </w:tr>
    </w:tbl>
    <w:p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78.00000000000006" w:lineRule="auto"/>
        <w:ind w:left="0" w:right="0" w:firstLine="0"/>
        <w:jc w:val="left"/>
        <w:rPr>
          <w:rFonts w:ascii="Helvetica Neue" w:cs="Helvetica Neue" w:eastAsia="Helvetica Neue" w:hAnsi="Helvetica Neue"/>
          <w:b w:val="0"/>
          <w:bCs w:val="0"/>
          <w:i w:val="0"/>
          <w:iCs w:val="0"/>
          <w:smallCaps w:val="0"/>
          <w:strike w:val="0"/>
          <w:color w:val="7a7a7a"/>
          <w:sz w:val="18"/>
          <w:szCs w:val="18"/>
          <w:u w:val="none"/>
          <w:shd w:fill="auto" w:val="clear"/>
          <w:vertAlign w:val="baseline"/>
        </w:rPr>
        <w:sectPr>
          <w:footerReference r:id="rId8" w:type="default"/>
          <w:pgSz w:h="15840" w:w="12240" w:orient="portrait"/>
          <w:pgMar w:bottom="1440" w:top="1440" w:left="1440" w:right="1440" w:header="720" w:footer="720"/>
          <w:pgNumType w:start="1"/>
        </w:sectPr>
      </w:pPr>
      <w:r>
        <w:rPr>
          <w:rtl w:val="0"/>
        </w:rPr>
      </w:r>
    </w:p>
    <w:p w14:paraId="00000009">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rFonts w:ascii="Helvetica Neue" w:cs="Helvetica Neue" w:eastAsia="Helvetica Neue" w:hAnsi="Helvetica Neue"/>
          <w:b w:val="0"/>
          <w:bCs w:val="0"/>
          <w:i w:val="0"/>
          <w:iCs w:val="0"/>
          <w:smallCaps w:val="0"/>
          <w:strike w:val="0"/>
          <w:color w:val="000000"/>
          <w:sz w:val="48"/>
          <w:szCs w:val="48"/>
          <w:u w:val="none"/>
          <w:shd w:fill="auto" w:val="clear"/>
          <w:vertAlign w:val="baseline"/>
        </w:rPr>
      </w:pPr>
      <w:r>
        <w:rPr>
          <w:rFonts w:ascii="Helvetica Neue" w:cs="Helvetica Neue" w:eastAsia="Helvetica Neue" w:hAnsi="Helvetica Neue"/>
          <w:b w:val="0"/>
          <w:bCs w:val="0"/>
          <w:i w:val="0"/>
          <w:iCs w:val="0"/>
          <w:smallCaps w:val="0"/>
          <w:strike w:val="0"/>
          <w:color w:val="000000"/>
          <w:sz w:val="48"/>
          <w:szCs w:val="48"/>
          <w:u w:val="none"/>
          <w:shd w:fill="auto" w:val="clear"/>
          <w:vertAlign w:val="baseline"/>
          <w:rtl w:val="0"/>
        </w:rPr>
        <w:t xml:space="preserve">Contents</w:t>
      </w:r>
    </w:p>
    <w:p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360" w:before="360" w:line="278.00000000000006" w:lineRule="auto"/>
        <w:ind w:left="0" w:right="0" w:firstLine="0"/>
        <w:jc w:val="left"/>
        <w:rPr>
          <w:sz w:val="48"/>
          <w:szCs w:val="48"/>
        </w:rPr>
      </w:pPr>
      <w:r>
        <w:rPr>
          <w:rtl w:val="0"/>
        </w:rPr>
      </w:r>
    </w:p>
    <w:sdt>
      <w:sdtPr>
        <w:id w:val="-2107746825"/>
        <w:docPartObj>
          <w:docPartGallery w:val="Table of Contents"/>
          <w:docPartUnique w:val="1"/>
        </w:docPartObj>
      </w:sdtPr>
      <w:sdtContent>
        <w:p w14:paraId="0000000B">
          <w:pPr>
            <w:widowControl w:val="0"/>
            <w:tabs>
              <w:tab w:val="right" w:leader="dot" w:pos="9360"/>
            </w:tabs>
            <w:spacing w:after="0" w:before="60" w:line="240" w:lineRule="auto"/>
            <w:rPr>
              <w:b w:val="1"/>
              <w:bCs w:val="1"/>
              <w:color w:val="000000"/>
              <w:u w:val="none"/>
            </w:rPr>
          </w:pPr>
          <w:r>
            <w:fldChar w:fldCharType="begin"/>
            <w:instrText xml:space="preserve"> TOC \h \u \z \t "Heading 1,1,Heading 2,2,Heading 3,3,Heading 4,4,Heading 5,5,Heading 6,6,"</w:instrText>
            <w:fldChar w:fldCharType="separate"/>
          </w: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Scope and status</w:t>
              <w:tab/>
              <w:t xml:space="preserve">2</w:t>
            </w:r>
          </w:hyperlink>
          <w:r>
            <w:rPr>
              <w:rtl w:val="0"/>
            </w:rPr>
          </w:r>
        </w:p>
        <w:p w14:paraId="0000000C">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What is verified</w:t>
              <w:tab/>
              <w:t xml:space="preserve">2</w:t>
            </w:r>
          </w:hyperlink>
          <w:r>
            <w:rPr>
              <w:rtl w:val="0"/>
            </w:rPr>
          </w:r>
        </w:p>
        <w:p w14:paraId="0000000D">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Target model</w:t>
              <w:tab/>
              <w:t xml:space="preserve">2</w:t>
            </w:r>
          </w:hyperlink>
          <w:r>
            <w:rPr>
              <w:rtl w:val="0"/>
            </w:rPr>
          </w:r>
        </w:p>
        <w:p w14:paraId="0000000E">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Field mapping</w:t>
              <w:tab/>
              <w:t xml:space="preserve">3</w:t>
            </w:r>
          </w:hyperlink>
          <w:r>
            <w:rPr>
              <w:rtl w:val="0"/>
            </w:rPr>
          </w:r>
        </w:p>
        <w:p w14:paraId="0000000F">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Patient fields</w:t>
              <w:tab/>
              <w:t xml:space="preserve">3</w:t>
            </w:r>
          </w:hyperlink>
          <w:r>
            <w:rPr>
              <w:rtl w:val="0"/>
            </w:rPr>
          </w:r>
        </w:p>
        <w:p w14:paraId="00000010">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Appointment fields</w:t>
              <w:tab/>
              <w:t xml:space="preserve">4</w:t>
            </w:r>
          </w:hyperlink>
          <w:r>
            <w:rPr>
              <w:rtl w:val="0"/>
            </w:rPr>
          </w:r>
        </w:p>
        <w:p w14:paraId="00000011">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Shared rules</w:t>
              <w:tab/>
              <w:t xml:space="preserve">6</w:t>
            </w:r>
          </w:hyperlink>
          <w:r>
            <w:rPr>
              <w:rtl w:val="0"/>
            </w:rPr>
          </w:r>
        </w:p>
        <w:p w14:paraId="00000012">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Test plan</w:t>
              <w:tab/>
              <w:t xml:space="preserve">7</w:t>
            </w:r>
          </w:hyperlink>
          <w:r>
            <w:rPr>
              <w:rtl w:val="0"/>
            </w:rPr>
          </w:r>
        </w:p>
        <w:p w14:paraId="00000013">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Next steps</w:t>
              <w:tab/>
              <w:t xml:space="preserve">7</w:t>
            </w:r>
          </w:hyperlink>
          <w:r>
            <w:rPr>
              <w:rtl w:val="0"/>
            </w:rPr>
          </w:r>
        </w:p>
        <w:p w14:paraId="00000014">
          <w:pPr>
            <w:widowControl w:val="0"/>
            <w:tabs>
              <w:tab w:val="right" w:leader="dot" w:pos="9360"/>
            </w:tabs>
            <w:spacing w:after="0" w:before="60" w:line="240" w:lineRule="auto"/>
            <w:rPr>
              <w:b w:val="1"/>
              <w:bCs w:val="1"/>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Evidence</w:t>
              <w:tab/>
              <w:t xml:space="preserve">8</w:t>
            </w:r>
          </w:hyperlink>
          <w:r>
            <w:rPr>
              <w:rtl w:val="0"/>
            </w:rPr>
          </w:r>
        </w:p>
        <w:p w14:paraId="00000015">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Sandbox checks</w:t>
              <w:tab/>
              <w:t xml:space="preserve">8</w:t>
            </w:r>
          </w:hyperlink>
          <w:r>
            <w:rPr>
              <w:rtl w:val="0"/>
            </w:rPr>
          </w:r>
        </w:p>
        <w:p w14:paraId="00000016">
          <w:pPr>
            <w:widowControl w:val="0"/>
            <w:tabs>
              <w:tab w:val="right" w:leader="dot" w:pos="9360"/>
            </w:tabs>
            <w:spacing w:after="0" w:before="60" w:line="240" w:lineRule="auto"/>
            <w:ind w:left="360" w:firstLine="0"/>
            <w:rPr>
              <w:color w:val="000000"/>
              <w:u w:val="none"/>
            </w:rPr>
          </w:pPr>
          <w:hyperlink w:anchor="_heading=">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Sources</w:t>
              <w:tab/>
              <w:t xml:space="preserve">9</w:t>
            </w:r>
          </w:hyperlink>
          <w:r>
            <w:rPr>
              <w:rtl w:val="0"/>
            </w:rPr>
          </w:r>
          <w:r>
            <w:fldChar w:fldCharType="end"/>
          </w:r>
        </w:p>
      </w:sdtContent>
    </w:sdt>
    <w:bookmarkStart w:colFirst="0" w:colLast="0" w:name="bookmark=id.i23wo83gyh7m" w:id="1"/>
    <w:bookmarkEnd w:id="1"/>
    <w:p w14:paraId="00000017">
      <w:pPr>
        <w:pStyle w:val="Heading1"/>
        <w:pageBreakBefore w:val="1"/>
        <w:rPr/>
      </w:pPr>
      <w:r>
        <w:rPr>
          <w:rtl w:val="0"/>
        </w:rPr>
        <w:t xml:space="preserve">Scope and status</w:t>
      </w:r>
    </w:p>
    <w:p w14:paraId="00000018">
      <w:pPr>
        <w:rPr/>
      </w:pPr>
      <w:r>
        <w:rPr>
          <w:rtl w:val="0"/>
        </w:rPr>
        <w:t xml:space="preserve">This draft maps Oracle Health FHIR R4 data to CareConnect. It covers one linked patient and that patient’s appointments. It is ready for design review. It is not merged code or proof of secure sign-in.</w:t>
      </w:r>
    </w:p>
    <w:p w14:paraId="00000018">
      <w:pPr>
        <w:rPr/>
      </w:pPr>
      <w:r>
        <w:rPr>
          <w:rtl w:val="0"/>
        </w:rPr>
        <w:t xml:space="preserve">Prepared for Terence Boyce, Technical Architect, with Codex support. This work adds field rules, sample checks and tests. Team review and QA sign-off remain open.</w:t>
      </w:r>
    </w:p>
    <w:bookmarkStart w:colFirst="0" w:colLast="0" w:name="bookmark=id.1sqjewf8afxt" w:id="2"/>
    <w:bookmarkEnd w:id="2"/>
    <w:p w14:paraId="0000001A">
      <w:pPr>
        <w:pStyle w:val="Heading2"/>
        <w:rPr/>
      </w:pPr>
      <w:r>
        <w:rPr>
          <w:rtl w:val="0"/>
        </w:rPr>
        <w:t xml:space="preserve">What is verified</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Public Patient and Appointment reads returned HTTP 200 on September 17, 2026. The bounded appointment search also passed once its dates included UTC times.</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A shared EHR model exists on feature/b-ehr-identity-reconciliation-schema at 75b5f755. Treat it as a candidate. It is not in the audited Team C base.</w:t>
      </w:r>
    </w:p>
    <w:p w14:paraId="0000001B">
      <w:pPr>
        <w:keepNext w:val="0"/>
        <w:keepLines w:val="1"/>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76" w:lineRule="auto"/>
        <w:ind w:left="540" w:right="0" w:hanging="270"/>
        <w:jc w:val="left"/>
        <w:rPr/>
      </w:pPr>
      <w:r>
        <w:rPr>
          <w:rFonts w:ascii="Helvetica Neue" w:cs="Helvetica Neue" w:eastAsia="Helvetica Neue" w:hAnsi="Helvetica Neue"/>
          <w:b w:val="0"/>
          <w:bCs w:val="0"/>
          <w:i w:val="0"/>
          <w:iCs w:val="0"/>
          <w:smallCaps w:val="0"/>
          <w:strike w:val="0"/>
          <w:color w:val="000000"/>
          <w:sz w:val="22"/>
          <w:szCs w:val="22"/>
          <w:u w:val="none"/>
          <w:shd w:fill="auto" w:val="clear"/>
          <w:vertAlign w:val="baseline"/>
          <w:rtl w:val="0"/>
        </w:rPr>
        <w:t xml:space="preserve">Current Patient fields cannot hold all source meaning. Tasks and EVV visits are not safe substitutes for a full external appointment.</w:t>
      </w:r>
    </w:p>
    <w:bookmarkStart w:colFirst="0" w:colLast="0" w:name="bookmark=id.4t4jj91ycfx" w:id="3"/>
    <w:bookmarkEnd w:id="3"/>
    <w:p w14:paraId="0000001E">
      <w:pPr>
        <w:pStyle w:val="Heading2"/>
        <w:rPr/>
      </w:pPr>
      <w:r>
        <w:rPr>
          <w:rtl w:val="0"/>
        </w:rPr>
        <w:t xml:space="preserve">Target model</w:t>
      </w:r>
    </w:p>
    <w:p w14:paraId="00000018">
      <w:pPr>
        <w:rPr/>
      </w:pPr>
      <w:r>
        <w:rPr>
          <w:rtl w:val="0"/>
        </w:rPr>
        <w:t xml:space="preserve">Base review: team-c-develop at 13488cf9 and team-c/main at 87f42ff1. The relevant Patient/domain files have no diff between these bases. The local checkout stays untouched.</w:t>
      </w:r>
    </w:p>
    <w:p w14:paraId="00000018">
      <w:pPr>
        <w:rPr/>
      </w:pPr>
      <w:r>
        <w:rPr>
          <w:rtl w:val="0"/>
        </w:rPr>
        <w:t xml:space="preserve">Proposed fit: use EhrPatientCrosswalk for the link, EhrSourceIdentity for selected source demographics, and EhrAppointmentRecord for appointments. The shared reconciler owns local Patient changes. New fields below are proposals, not existing database columns. [R1–R5]</w:t>
      </w:r>
    </w:p>
    <w:bookmarkStart w:colFirst="0" w:colLast="0" w:name="bookmark=id.xx7bxdemqiq" w:id="4"/>
    <w:bookmarkEnd w:id="4"/>
    <w:p w14:paraId="00000021">
      <w:pPr>
        <w:pStyle w:val="Heading1"/>
        <w:pageBreakBefore w:val="1"/>
        <w:rPr/>
      </w:pPr>
      <w:r>
        <w:rPr>
          <w:rtl w:val="0"/>
        </w:rPr>
        <w:t xml:space="preserve">Field mapping</w:t>
      </w:r>
    </w:p>
    <w:p w14:paraId="00000018">
      <w:pPr>
        <w:rPr/>
      </w:pPr>
      <w:r>
        <w:rPr>
          <w:rtl w:val="0"/>
        </w:rPr>
        <w:t xml:space="preserve">The tables define the proposed map. “Source view” means a scoped set of source fields kept behind the API. It is not a new database table by default. Agree extensions to the shared model before code work.</w:t>
      </w:r>
    </w:p>
    <w:p w14:paraId="00000023">
      <w:pPr>
        <w:pStyle w:val="Heading2"/>
        <w:rPr/>
      </w:pPr>
      <w:r>
        <w:rPr>
          <w:rtl w:val="0"/>
        </w:rPr>
        <w:t xml:space="preserve">Patient fields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1"/>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Rule / item</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FHIR input → target</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Proposed mapping rule</w:t>
            </w:r>
            <w:r>
              <w:rPr>
                <w:rtl w:val="0"/>
              </w:rPr>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P01 · identity</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 identifier[]</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id as the FHIR logical ID in the link table. Scope it to the source endpoint/tenant. Keep identifier system + value as business IDs. Never copy an MRN into Patient.id or maNumber. [R1, R4, R7]</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P02 · names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name[] → firstName, lastName</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Proposed: select one current official name; else current usual; else first current entry. Join all given parts with spaces. Keep family intact. Store the full name list in the source view; do not split name.text by spaces.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P03 · birth date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birthDate → dateOfBirth / dob</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Map a full YYYY-MM-DD to the candidate LocalDate. Keep a partial date as raw text plus precision in a proposed source field. Do not add a day or month. Current Patient.dob is String. [R1, R5]</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P04 · gender</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gender → source gender</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the source code. male/female/other can map only under an agreed policy. unknown or absent must not become PREFER_NOT_TO_SAY. The candidate snapshot has no gender field. [R1, R5]</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P05 · contacts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telecom[] → phone, email</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Proposed: choose current entries by system, then lowest rank, then source order. Keep other values in the source view. Missing data must not clear a local value. Never log contact values.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P06 · address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address[] → address fields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Proposed: prefer current home, then the first current non-old address. Copy lines, city, state and postalCode. Keep extra lines, country and use in source fields; the current model cannot hold them all.</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P07 · language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communication[] → preferredLanguage</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language coding and preferred flag in a proposed source field. Do not write to preferredCommunicationMethod: it describes verbal, visual, written or gesture. UI locale stays a user choice. [R1]</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P08 · record state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active; deceased[x]; link[]</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these as source state. Do not disable an app account or merge two local patients from these fields alone. A replaced/merged source identity needs review before the link changes.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P09 · source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meta.versionId; meta.lastUpdated</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source version, update time and fetch time as distinct proposed metadata. Treat version IDs as opaque strings. They are not numbers to sort. Missing values stay null.</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P10 · extras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generalPractitioner; contact; photo</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Do not infer a local Provider or User from a display name. Related contacts and images are outside this first map. Drop them from the stored projection unless a later need is approved.</w:t>
            </w:r>
          </w:p>
        </w:tc>
      </w:tr>
    </w:tbl>
    <w:p w14:paraId="00000025">
      <w:pPr>
        <w:pStyle w:val="Heading2"/>
        <w:rPr/>
      </w:pPr>
      <w:r>
        <w:rPr>
          <w:rtl w:val="0"/>
        </w:rPr>
        <w:t xml:space="preserve">Appointment fields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1"/>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Rule / item</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FHIR input → target</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Proposed mapping rule</w:t>
            </w:r>
            <w:r>
              <w:rPr>
                <w:rtl w:val="0"/>
              </w:rPr>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A01 · identity</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id → externalAppointmentId</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Use source endpoint/tenant + Appointment + logical ID as source identity. Link it to a verified local patient. Do not match on date, person name or room. Candidate key also includes patient and source. [R2]</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A02 · patient</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participant[].actor.reference</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Require an exact Patient link match before write. Resolve relative or same-base absolute references safely. Do not follow arbitrary URLs. Quarantine missing or other-patient links; do not guess from display text.</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A03 · state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status → status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the exact source code. Map only the display label to locale text. Participant.status is separate. Unknown status goes to review. entered-in-error hides the item from the active list; keep an audit record.</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A04 · time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start; end → startAt, endAt</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Proposed target: Instant or offset-aware values. Render in a named user time zone. Reject only one time present or end before start. Null pairs may be valid for proposed, cancelled or waitlist. [R8]</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A05 · duration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minutesDuration → durationMinutes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the supplied duration if present. Do not replace it with end minus start: these can differ. No 60-minute default. This needs a source field beyond the candidate row. [R8]</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A06 · actors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participant[] → participants[]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reference, type, display and response status for each actor. Derive providerName/location for display only. Do not assign a caregiver from an external practitioner. Proposed extension to R2.</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A07 · service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serviceType[]; specialty; appointmentType</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code system, code, text and all values in the source view. Derive a display label from text, then coding.display, then code. The candidate serviceType holds one display string. [R2, R3]</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A08 · reason</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reasonCode[]; reasonReference[]</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codes and references separate. A reference is not a diagnosis. Do not fetch linked clinical records in this scope. Limit reason text in the UI to roles that need it.</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A09 · notes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description; comment; patientInstruction</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fields separate. Show patientInstruction only where needed. Do not treat internal comment as patient text. Proposed projection fields; do not put notes in logs. [R8]</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A10 · lifecycle</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cancelationReason; requestedPeriod[]</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the FHIR spelling cancelationReason. Preserve requested windows separately from booked times. A cancelled visit stays cancelled even when all participants say accepted. [R8; sandbox E1]</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A11 · dates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created; meta.lastUpdated; versionId</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Preserve raw created date and precision; do not require an offset when only a date is supplied. Use offset-aware instants for full timestamps. Version, source time and fetch time remain distinct.</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A12 · excluded links</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slot; basedOn; supportingInformation</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only needed references in the scoped source view. No slot booking, encounter creation or EHR write-back in this addendum. Missing a search result never means delete the stored row.</w:t>
            </w:r>
          </w:p>
        </w:tc>
      </w:tr>
    </w:tbl>
    <w:bookmarkStart w:colFirst="0" w:colLast="0" w:name="bookmark=id.suv0vlq0gz4r" w:id="5"/>
    <w:bookmarkEnd w:id="5"/>
    <w:p w14:paraId="0000002A">
      <w:pPr>
        <w:pStyle w:val="Heading2"/>
        <w:rPr/>
      </w:pPr>
      <w:r>
        <w:rPr>
          <w:rtl w:val="0"/>
        </w:rPr>
        <w:t xml:space="preserve">Shared rules</w:t>
      </w:r>
    </w:p>
    <w:p w14:paraId="00000018">
      <w:pPr>
        <w:rPr/>
      </w:pPr>
      <w:r>
        <w:rPr>
          <w:rtl w:val="0"/>
        </w:rPr>
        <w:t xml:space="preserve">Use no name-only matches. The link must bind the local patient, source endpoint and external Patient.id. A single vendor code does not isolate two Oracle tenants. Extend the source key or enforce a single-endpoint limit. [R4]</w:t>
      </w:r>
    </w:p>
    <w:p w14:paraId="00000018">
      <w:pPr>
        <w:rPr/>
      </w:pPr>
      <w:r>
        <w:rPr>
          <w:rtl w:val="0"/>
        </w:rPr>
        <w:t xml:space="preserve">Do not trim source meaning to fit a column. Validate length, Unicode and control characters before a write. Keep safe display text separate from exact coded values. Record a safe field-level issue if data does not fit.</w:t>
      </w:r>
    </w:p>
    <w:p w14:paraId="00000018">
      <w:pPr>
        <w:rPr/>
      </w:pPr>
      <w:r>
        <w:rPr>
          <w:rtl w:val="0"/>
        </w:rPr>
        <w:t xml:space="preserve">Keep null, absent and empty distinct during validation. Do not invent names, dates, contact details or appointment status. Preserve valid fields when an optional field fails; quarantine the record when identity or time safety fails.</w:t>
      </w:r>
    </w:p>
    <w:p w14:paraId="00000018">
      <w:pPr>
        <w:rPr/>
      </w:pPr>
      <w:r>
        <w:rPr>
          <w:rtl w:val="0"/>
        </w:rPr>
        <w:t xml:space="preserve">A repeat fetch must not add a duplicate. Check the scoped identity and source version or content hash. A failed page must not mark the whole sync complete. Never delete records based on an empty or partial search.</w:t>
      </w:r>
    </w:p>
    <w:bookmarkStart w:colFirst="0" w:colLast="0" w:name="bookmark=id.vvr4bduzzdc0" w:id="6"/>
    <w:bookmarkEnd w:id="6"/>
    <w:p w14:paraId="00000038">
      <w:pPr>
        <w:pStyle w:val="Heading1"/>
        <w:pageBreakBefore w:val="1"/>
        <w:rPr/>
      </w:pPr>
      <w:r>
        <w:rPr>
          <w:rtl w:val="0"/>
        </w:rPr>
        <w:t xml:space="preserve">Test plan</w:t>
      </w:r>
    </w:p>
    <w:p w14:paraId="00000018">
      <w:pPr>
        <w:rPr/>
      </w:pPr>
      <w:r>
        <w:rPr>
          <w:rtl w:val="0"/>
        </w:rPr>
        <w:t xml:space="preserve">These tests are specified, not run against CareConnect. QA may add them to ST-04, ST-05, ST-06, ST-07, ST-10 and ST-14 in the existing test plan.</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1"/>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Case</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Input</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Expected result</w:t>
            </w:r>
            <w:r>
              <w:rPr>
                <w:rtl w:val="0"/>
              </w:rPr>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PA-T01</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given names; old names; missing family</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Choose the current name by P02. Keep all parts. No guessed family.</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PA-T02</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birthDate 1990 or 1990-01; gender unknown</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date precision. No false full date or “prefer not to say.”</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PA-T03</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Same ID at two tenant endpoints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Two scoped identities. No cross-tenant overwrite.</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PA-T04</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2026-09-19T09:00:00-04:00</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Store the same instant as 13:00:00Z. Display by user zone.</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PA-T05</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Wrong patient; missing patient; absolute URL</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Accept a verified same-base match. Reject missing, other-patient or foreign-base links before writes.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PA-T06</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cancelled + accepted participant</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cancelled. Do not mark as booked or completed.</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PA-T07</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Missing start/end; one missing; invalid order</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Allow valid null pair by state. Reject unsafe time pairs.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PA-T08</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Repeat payload; second-page timeout</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duplicate row. Mark partial sync; no deletions.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PA-T09</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Only text in service type; multiple codes</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Keep source meaning and all codes; text may be the label.</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PA-T10</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Language en; denied access; long/control text</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No silent locale change. No data leak. Safe field error.</w:t>
            </w:r>
          </w:p>
        </w:tc>
      </w:tr>
    </w:tbl>
    <w:bookmarkStart w:colFirst="0" w:colLast="0" w:name="bookmark=id.rl3o3rp5qmnq" w:id="7"/>
    <w:bookmarkEnd w:id="7"/>
    <w:p w14:paraId="0000003D">
      <w:pPr>
        <w:pStyle w:val="Heading2"/>
        <w:rPr/>
      </w:pPr>
      <w:r>
        <w:rPr>
          <w:rtl w:val="0"/>
        </w:rPr>
        <w:t xml:space="preserve">Next steps</w:t>
      </w:r>
    </w:p>
    <w:p w14:paraId="00000018">
      <w:pPr>
        <w:rPr/>
      </w:pPr>
      <w:r>
        <w:rPr>
          <w:rtl w:val="0"/>
        </w:rPr>
        <w:t xml:space="preserve">Terence: review the tenant key, time type and added source fields. Keep this mapping with the TDD addendum. Use the public samples as fixtures for a later code change.</w:t>
      </w:r>
    </w:p>
    <w:p w14:paraId="00000018">
      <w:pPr>
        <w:rPr/>
      </w:pPr>
      <w:r>
        <w:rPr>
          <w:rtl w:val="0"/>
        </w:rPr>
        <w:t xml:space="preserve">Before integration: agree the shared schema with its owners, then bind the Cerner adapter to it. QA owns test execution and sign-off. This draft can support an independent design review.</w:t>
      </w:r>
    </w:p>
    <w:bookmarkStart w:colFirst="0" w:colLast="0" w:name="bookmark=id.cf45595vup8a" w:id="8"/>
    <w:bookmarkEnd w:id="8"/>
    <w:p w14:paraId="00000040">
      <w:pPr>
        <w:pStyle w:val="Heading1"/>
        <w:pageBreakBefore w:val="1"/>
        <w:rPr/>
      </w:pPr>
      <w:r>
        <w:rPr>
          <w:rtl w:val="0"/>
        </w:rPr>
        <w:t xml:space="preserve">Evidence</w:t>
      </w:r>
    </w:p>
    <w:p w14:paraId="00000018">
      <w:pPr>
        <w:rPr/>
      </w:pPr>
      <w:r>
        <w:rPr>
          <w:rtl w:val="0"/>
        </w:rPr>
        <w:t xml:space="preserve">Evidence was gathered on September 17, 2026. Public reads use Oracle’s synthetic sandbox. Results may change as the shared sandbox changes. The checks do not prove OAuth, database writes, end-to-end sync or CI success.</w:t>
      </w:r>
    </w:p>
    <w:bookmarkStart w:colFirst="0" w:colLast="0" w:name="bookmark=id.ptrg31dozyqs" w:id="9"/>
    <w:bookmarkEnd w:id="9"/>
    <w:p w14:paraId="00000041">
      <w:pPr>
        <w:pStyle w:val="Heading2"/>
        <w:rPr/>
      </w:pPr>
      <w:r>
        <w:rPr>
          <w:rtl w:val="0"/>
        </w:rPr>
        <w:t xml:space="preserve">Sandbox checks</w:t>
      </w:r>
    </w:p>
    <w:tbl>
      <w:tblPr>
        <w:tblStyle w:val="Table2"/>
        <w:tblW w:w="9120.0" w:type="dxa"/>
        <w:jc w:val="left"/>
        <w:tblInd w:w="120.0" w:type="dxa"/>
        <w:tblBorders>
          <w:top w:color="d9d9d9" w:space="0" w:sz="4" w:val="single"/>
          <w:left w:color="d9d9d9" w:space="0" w:sz="4" w:val="single"/>
          <w:bottom w:color="d9d9d9" w:space="0" w:sz="4" w:val="single"/>
          <w:right w:color="d9d9d9" w:space="0" w:sz="4" w:val="single"/>
          <w:insideH w:color="d9d9d9" w:space="0" w:sz="4" w:val="single"/>
          <w:insideV w:color="d9d9d9" w:space="0" w:sz="4" w:val="single"/>
        </w:tblBorders>
        <w:tblLayout w:type="fixed"/>
        <w:tblLook w:val="0400"/>
      </w:tblPr>
      <w:tblGrid>
        <w:gridCol w:w="1800"/>
        <w:gridCol w:w="3300"/>
        <w:gridCol w:w="4020"/>
        <w:tblGridChange w:id="0">
          <w:tblGrid>
            <w:gridCol w:w="1800"/>
            <w:gridCol w:w="3300"/>
            <w:gridCol w:w="4020"/>
          </w:tblGrid>
        </w:tblGridChange>
      </w:tblGrid>
      <w:tr>
        <w:trPr>
          <w:cantSplit w:val="1"/>
          <w:tblHeader w:val="1"/>
        </w:trPr>
        <w:tc>
          <w:tcPr>
            <w:shd w:fill="f2f2f2" w:val="clear"/>
            <w:tcMar>
              <w:top w:w="110.0" w:type="dxa"/>
              <w:bottom w:w="110.0" w:type="dxa"/>
            </w:tcMar>
            <w:vAlign w:val="center"/>
          </w:tcPr>
          <w:p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Check</w:t>
            </w:r>
            <w:r>
              <w:rPr>
                <w:rtl w:val="0"/>
              </w:rPr>
            </w:r>
          </w:p>
        </w:tc>
        <w:tc>
          <w:tcPr>
            <w:shd w:fill="f2f2f2" w:val="clear"/>
            <w:tcMar>
              <w:top w:w="110.0" w:type="dxa"/>
              <w:bottom w:w="110.0" w:type="dxa"/>
            </w:tcMar>
            <w:vAlign w:val="center"/>
          </w:tcPr>
          <w:p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Observed result</w:t>
            </w:r>
            <w:r>
              <w:rPr>
                <w:rtl w:val="0"/>
              </w:rPr>
            </w:r>
          </w:p>
        </w:tc>
        <w:tc>
          <w:tcPr>
            <w:shd w:fill="f2f2f2" w:val="clear"/>
            <w:tcMar>
              <w:top w:w="110.0" w:type="dxa"/>
              <w:bottom w:w="110.0" w:type="dxa"/>
            </w:tcMar>
            <w:vAlign w:val="center"/>
          </w:tcPr>
          <w:p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1"/>
                <w:bCs w:val="1"/>
                <w:i w:val="0"/>
                <w:iCs w:val="0"/>
                <w:smallCaps w:val="0"/>
                <w:strike w:val="0"/>
                <w:color w:val="000000"/>
                <w:sz w:val="18"/>
                <w:szCs w:val="18"/>
                <w:u w:val="none"/>
                <w:shd w:fill="auto" w:val="clear"/>
                <w:vertAlign w:val="baseline"/>
                <w:rtl w:val="0"/>
              </w:rPr>
              <w:t xml:space="preserve">What it proves</w:t>
            </w:r>
            <w:r>
              <w:rPr>
                <w:rtl w:val="0"/>
              </w:rPr>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E1 · direct read</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Appointment/4822366 → 200</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cancelled; Patient/12724066; 2020-01-23 22:10Z–23:10Z; multiple participants.</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E2 · direct read</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Patient/12724066 → 200</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Current and old names; full birth date; preferred language en.</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E3 · date-only search</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ge2020-01-23 / lt2020-01-24 → 400</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OperationOutcome: “date: must have a time”.</w:t>
            </w:r>
          </w:p>
        </w:tc>
      </w:tr>
      <w:tr>
        <w:trPr>
          <w:cantSplit w:val="1"/>
          <w:tblHeader w:val="0"/>
        </w:trPr>
        <w:tc>
          <w:tcPr>
            <w:shd w:fill="ffffff" w:val="clear"/>
            <w:tcMar>
              <w:top w:w="110.0" w:type="dxa"/>
              <w:bottom w:w="110.0" w:type="dxa"/>
            </w:tcMar>
            <w:vAlign w:val="center"/>
          </w:tcPr>
          <w:p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E4 · timed search</w:t>
            </w:r>
          </w:p>
        </w:tc>
        <w:tc>
          <w:tcPr>
            <w:shd w:fill="ffffff" w:val="clear"/>
            <w:tcMar>
              <w:top w:w="110.0" w:type="dxa"/>
              <w:bottom w:w="110.0" w:type="dxa"/>
            </w:tcMar>
            <w:vAlign w:val="center"/>
          </w:tcPr>
          <w:p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ge2020-01-23T00:00:00Z / lt2020-01-24T00:00:00Z → 200</w:t>
            </w:r>
          </w:p>
        </w:tc>
        <w:tc>
          <w:tcPr>
            <w:shd w:fill="ffffff" w:val="clear"/>
            <w:tcMar>
              <w:top w:w="110.0" w:type="dxa"/>
              <w:bottom w:w="110.0" w:type="dxa"/>
            </w:tcMar>
            <w:vAlign w:val="center"/>
          </w:tcPr>
          <w:p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Helvetica Neue" w:cs="Helvetica Neue" w:eastAsia="Helvetica Neue" w:hAnsi="Helvetica Neue"/>
                <w:b w:val="0"/>
                <w:bCs w:val="0"/>
                <w:i w:val="0"/>
                <w:iCs w:val="0"/>
                <w:smallCaps w:val="0"/>
                <w:strike w:val="0"/>
                <w:color w:val="000000"/>
                <w:sz w:val="18"/>
                <w:szCs w:val="18"/>
                <w:u w:val="none"/>
                <w:shd w:fill="auto" w:val="clear"/>
                <w:vertAlign w:val="baseline"/>
              </w:rPr>
            </w:pPr>
            <w:r>
              <w:rPr>
                <w:rFonts w:ascii="Helvetica Neue" w:cs="Helvetica Neue" w:eastAsia="Helvetica Neue" w:hAnsi="Helvetica Neue"/>
                <w:b w:val="0"/>
                <w:bCs w:val="0"/>
                <w:i w:val="0"/>
                <w:iCs w:val="0"/>
                <w:smallCaps w:val="0"/>
                <w:strike w:val="0"/>
                <w:color w:val="000000"/>
                <w:sz w:val="18"/>
                <w:szCs w:val="18"/>
                <w:u w:val="none"/>
                <w:shd w:fill="auto" w:val="clear"/>
                <w:vertAlign w:val="baseline"/>
                <w:rtl w:val="0"/>
              </w:rPr>
              <w:t xml:space="preserve">Bundle with one Appointment, 4822366; no next link in this result.</w:t>
            </w:r>
          </w:p>
        </w:tc>
      </w:tr>
    </w:tbl>
    <w:p w14:paraId="00000018">
      <w:pPr>
        <w:rPr/>
      </w:pPr>
      <w:r>
        <w:rPr>
          <w:rtl w:val="0"/>
        </w:rPr>
        <w:t xml:space="preserve">Public base: https://fhir-open.cerner.com/r4/ec2458f2-1e24-41c8-b71b-0e701af7583d/</w:t>
      </w:r>
    </w:p>
    <w:p w14:paraId="00000018">
      <w:pPr>
        <w:rPr/>
      </w:pPr>
      <w:r>
        <w:rPr>
          <w:rtl w:val="0"/>
        </w:rPr>
        <w:t xml:space="preserve">Search: Appointment?patient=12724066&amp;date=ge2020-01-23T00:00:00Z&amp;date=lt2020-01-24T00:00:00Z&amp;_count=10. Encode query values. Read checks ran at 06:07–06:08 UTC. No token was used.</w:t>
      </w:r>
    </w:p>
    <w:bookmarkStart w:colFirst="0" w:colLast="0" w:name="bookmark=id.nnk1eebni0ji" w:id="10"/>
    <w:bookmarkEnd w:id="10"/>
    <w:p w14:paraId="00000044">
      <w:pPr>
        <w:pStyle w:val="Heading2"/>
        <w:rPr/>
        <w:pageBreakBefore w:val="1"/>
      </w:pPr>
      <w:r>
        <w:rPr>
          <w:rtl w:val="0"/>
        </w:rPr>
        <w:t xml:space="preserve">Sources</w:t>
      </w:r>
    </w:p>
    <w:p w14:paraId="00000018">
      <w:pPr>
        <w:rPr/>
      </w:pPr>
      <w:hyperlink r:id="rIdSource0">
        <w:r>
          <w:rPr>
            <w:rtl w:val="0"/>
          </w:rPr>
          <w:t xml:space="preserve">R1 — CareConnect Patient model (main audit snapshot)</w:t>
        </w:r>
      </w:hyperlink>
    </w:p>
    <w:p w14:paraId="00000018">
      <w:pPr>
        <w:rPr/>
      </w:pPr>
      <w:hyperlink r:id="rIdSource1">
        <w:r>
          <w:rPr>
            <w:rtl w:val="0"/>
          </w:rPr>
          <w:t xml:space="preserve">R2 — Shared candidate model: EhrAppointmentRecord</w:t>
        </w:r>
      </w:hyperlink>
    </w:p>
    <w:p w14:paraId="00000018">
      <w:pPr>
        <w:rPr/>
      </w:pPr>
      <w:hyperlink r:id="rIdSource2">
        <w:r>
          <w:rPr>
            <w:rtl w:val="0"/>
          </w:rPr>
          <w:t xml:space="preserve">R3 — Shared candidate code: EhrAppointmentMapper</w:t>
        </w:r>
      </w:hyperlink>
    </w:p>
    <w:p w14:paraId="00000018">
      <w:pPr>
        <w:rPr/>
      </w:pPr>
      <w:hyperlink r:id="rIdSource3">
        <w:r>
          <w:rPr>
            <w:rtl w:val="0"/>
          </w:rPr>
          <w:t xml:space="preserve">R4 — Shared candidate identity: EhrPatientCrosswalk</w:t>
        </w:r>
      </w:hyperlink>
    </w:p>
    <w:p w14:paraId="00000018">
      <w:pPr>
        <w:rPr/>
      </w:pPr>
      <w:hyperlink r:id="rIdSource4">
        <w:r>
          <w:rPr>
            <w:rtl w:val="0"/>
          </w:rPr>
          <w:t xml:space="preserve">R5 — Shared candidate demographic snapshot</w:t>
        </w:r>
      </w:hyperlink>
    </w:p>
    <w:p w14:paraId="00000018">
      <w:pPr>
        <w:rPr/>
      </w:pPr>
      <w:hyperlink r:id="rIdSource5">
        <w:r>
          <w:rPr>
            <w:rtl w:val="0"/>
          </w:rPr>
          <w:t xml:space="preserve">R6 — Oracle Health: appointment search rules</w:t>
        </w:r>
      </w:hyperlink>
    </w:p>
    <w:p w14:paraId="00000018">
      <w:pPr>
        <w:rPr/>
      </w:pPr>
      <w:hyperlink r:id="rIdSource6">
        <w:r>
          <w:rPr>
            <w:rtl w:val="0"/>
          </w:rPr>
          <w:t xml:space="preserve">R7 — HL7 FHIR R4: Patient field definitions</w:t>
        </w:r>
      </w:hyperlink>
    </w:p>
    <w:p w14:paraId="00000018">
      <w:pPr>
        <w:rPr/>
      </w:pPr>
      <w:hyperlink r:id="rIdSource7">
        <w:r>
          <w:rPr>
            <w:rtl w:val="0"/>
          </w:rPr>
          <w:t xml:space="preserve">R8 — HL7 FHIR R4: Appointment field definitions</w:t>
        </w:r>
      </w:hyperlink>
    </w:p>
    <w:p w14:paraId="00000018">
      <w:pPr>
        <w:rPr/>
      </w:pPr>
      <w:hyperlink r:id="rIdSource8">
        <w:r>
          <w:rPr>
            <w:rtl w:val="0"/>
          </w:rPr>
          <w:t xml:space="preserve">R9 — Shared candidate sync service</w:t>
        </w:r>
      </w:hyperlink>
    </w:p>
    <w:p w14:paraId="00000018">
      <w:pPr>
        <w:rPr/>
      </w:pPr>
      <w:hyperlink r:id="rIdSource9">
        <w:r>
          <w:rPr>
            <w:rtl w:val="0"/>
          </w:rPr>
          <w:t xml:space="preserve">R10 — Shared candidate adapter contract</w:t>
        </w:r>
      </w:hyperlink>
    </w:p>
    <w:p w14:paraId="00000018">
      <w:pPr>
        <w:rPr/>
      </w:pPr>
      <w:hyperlink r:id="rIdSource10">
        <w:r>
          <w:rPr>
            <w:rtl w:val="0"/>
          </w:rPr>
          <w:t xml:space="preserve">R11 — Shared candidate raw payload model</w:t>
        </w:r>
      </w:hyperlink>
    </w:p>
    <w:p w14:paraId="00000018">
      <w:pPr>
        <w:rPr/>
      </w:pPr>
      <w:hyperlink r:id="rIdSource11">
        <w:r>
          <w:rPr>
            <w:rtl w:val="0"/>
          </w:rPr>
          <w:t xml:space="preserve">R12 — Team C develop snapshot</w:t>
        </w:r>
      </w:hyperlink>
    </w:p>
    <w:p w14:paraId="00000018">
      <w:pPr>
        <w:rPr/>
      </w:pPr>
      <w:r>
        <w:rPr>
          <w:rtl w:val="0"/>
        </w:rPr>
        <w:t xml:space="preserve">Reference links point to the audit snapshot or the FHIR R4 source. These are design inputs, not proof that a proposed change has shipped.</w:t>
      </w:r>
    </w:p>
    <w:sectPr>
      <w:headerReference r:id="rId9" w:type="default"/>
      <w:footerReference r:id="rId10" w:type="default"/>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0" w:right="0" w:firstLine="0"/>
      <w:jc w:val="right"/>
      <w:rPr>
        <w:rFonts w:ascii="Helvetica Neue" w:cs="Helvetica Neue" w:eastAsia="Helvetica Neue" w:hAnsi="Helvetica Neue"/>
        <w:b w:val="0"/>
        <w:bCs w:val="0"/>
        <w:i w:val="0"/>
        <w:iCs w:val="0"/>
        <w:smallCaps w:val="0"/>
        <w:strike w:val="0"/>
        <w:color w:val="7a7a7a"/>
        <w:sz w:val="18"/>
        <w:szCs w:val="18"/>
        <w:u w:val="none"/>
        <w:shd w:fill="auto" w:val="clear"/>
        <w:vertAlign w:val="baseline"/>
      </w:rPr>
    </w:pPr>
    <w:r>
      <w:rPr>
        <w:rFonts w:ascii="Helvetica Neue" w:cs="Helvetica Neue" w:eastAsia="Helvetica Neue" w:hAnsi="Helvetica Neue"/>
        <w:b w:val="0"/>
        <w:bCs w:val="0"/>
        <w:i w:val="0"/>
        <w:iCs w:val="0"/>
        <w:smallCaps w:val="0"/>
        <w:strike w:val="0"/>
        <w:color w:val="7a7a7a"/>
        <w:sz w:val="18"/>
        <w:szCs w:val="18"/>
        <w:u w:val="none"/>
        <w:shd w:fill="auto" w:val="clear"/>
        <w:vertAlign w:val="baseline"/>
      </w:rPr>
      <w:fldChar w:fldCharType="begin"/>
      <w:instrText xml:space="preserve">PAGE</w:instrText>
      <w:fldChar w:fldCharType="separate"/>
      <w:fldChar w:fldCharType="end"/>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4B">
    <w:pPr>
      <w:keepNext w:val="0"/>
      <w:keepLines w:val="0"/>
      <w:pageBreakBefore w:val="0"/>
      <w:widowControl w:val="1"/>
      <w:pBdr>
        <w:top w:space="0" w:sz="0" w:val="nil"/>
        <w:left w:space="0" w:sz="0" w:val="nil"/>
        <w:bottom w:color="d9d9d9" w:space="5" w:sz="4" w:val="single"/>
        <w:right w:space="0" w:sz="0" w:val="nil"/>
        <w:between w:space="0" w:sz="0" w:val="nil"/>
      </w:pBdr>
      <w:shd w:fill="auto" w:val="clear"/>
      <w:spacing w:after="80" w:before="0" w:line="278.00000000000006" w:lineRule="auto"/>
      <w:ind w:left="0" w:right="0" w:firstLine="0"/>
      <w:jc w:val="left"/>
      <w:rPr>
        <w:color w:val="7a7a7a"/>
        <w:sz w:val="17"/>
        <w:szCs w:val="17"/>
      </w:rPr>
    </w:pPr>
    <w:r>
      <w:rPr>
        <w:rtl w:val="0"/>
      </w:rPr>
    </w:r>
  </w:p>
  <w:sdt>
    <w:sdtPr>
      <w:lock w:val="contentLocked"/>
      <w:id w:val="2109222018"/>
      <w:tag w:val="goog_rdk_0"/>
    </w:sdtPr>
    <w:sdtContent>
      <w:tbl>
        <w:tblPr>
          <w:tblStyle w:val="Table3"/>
          <w:tblW w:w="9360.0" w:type="dxa"/>
          <w:jc w:val="left"/>
          <w:tblLayout w:type="fixed"/>
          <w:tblLook w:val="0600"/>
        </w:tblPr>
        <w:tblGrid>
          <w:gridCol w:w="4680"/>
          <w:gridCol w:w="4680"/>
          <w:tblGridChange w:id="0">
            <w:tblGrid>
              <w:gridCol w:w="4680"/>
              <w:gridCol w:w="4680"/>
            </w:tblGrid>
          </w:tblGridChange>
        </w:tblGrid>
        <w:tr>
          <w:trPr>
            <w:cantSplit w:val="1"/>
            <w:trHeight w:val="325.74149576822384" w:hRule="atLeast"/>
            <w:tblHeader w:val="0"/>
          </w:trPr>
          <w:tc>
            <w:tcPr>
              <w:shd w:fill="auto" w:val="clear"/>
              <w:tcMar>
                <w:top w:w="0.0" w:type="dxa"/>
                <w:left w:w="0.0" w:type="dxa"/>
                <w:bottom w:w="0.0" w:type="dxa"/>
                <w:right w:w="0.0" w:type="dxa"/>
              </w:tcMar>
              <w:vAlign w:val="top"/>
            </w:tcPr>
            <w:p w14:paraId="0000004C">
              <w:pPr>
                <w:pBdr>
                  <w:top w:space="0" w:sz="0" w:val="nil"/>
                  <w:left w:space="0" w:sz="0" w:val="nil"/>
                  <w:bottom w:space="0" w:sz="0" w:val="nil"/>
                  <w:right w:space="0" w:sz="0" w:val="nil"/>
                  <w:between w:space="0" w:sz="0" w:val="nil"/>
                </w:pBdr>
                <w:shd w:fill="auto" w:val="clear"/>
                <w:spacing w:after="80" w:line="278.00000000000006" w:lineRule="auto"/>
                <w:rPr>
                  <w:color w:val="7a7a7a"/>
                  <w:sz w:val="17"/>
                  <w:szCs w:val="17"/>
                </w:rPr>
              </w:pPr>
              <w:r>
                <w:rPr>
                  <w:color w:val="7a7a7a"/>
                  <w:sz w:val="17"/>
                  <w:szCs w:val="17"/>
                  <w:rtl w:val="0"/>
                </w:rPr>
                <w:t xml:space="preserve">Team C • FHIR mapping</w:t>
              </w:r>
            </w:p>
            <w:p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7a7a7a"/>
                  <w:sz w:val="17"/>
                  <w:szCs w:val="17"/>
                </w:rPr>
              </w:pPr>
              <w:r>
                <w:rPr>
                  <w:rtl w:val="0"/>
                </w:rPr>
              </w:r>
            </w:p>
          </w:tc>
          <w:tc>
            <w:tcPr>
              <w:shd w:fill="auto" w:val="clear"/>
              <w:tcMar>
                <w:top w:w="0.0" w:type="dxa"/>
                <w:left w:w="0.0" w:type="dxa"/>
                <w:bottom w:w="0.0" w:type="dxa"/>
                <w:right w:w="0.0" w:type="dxa"/>
              </w:tcMar>
              <w:vAlign w:val="top"/>
            </w:tcPr>
            <w:p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color w:val="7a7a7a"/>
                  <w:sz w:val="17"/>
                  <w:szCs w:val="17"/>
                </w:rPr>
              </w:pPr>
              <w:r>
                <w:rPr>
                  <w:color w:val="7a7a7a"/>
                  <w:sz w:val="17"/>
                  <w:szCs w:val="17"/>
                  <w:rtl w:val="0"/>
                </w:rPr>
                <w:t xml:space="preserve">September 17, 2026</w:t>
              </w:r>
            </w:p>
          </w:tc>
        </w:tr>
      </w:tbl>
    </w:sdtContent>
  </w:sdt>
  <w:p w14:paraId="0000004F">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Rule="auto"/>
    </w:pPr>
    <w:rPr>
      <w:rFonts w:ascii="Helvetica Neue" w:cs="Helvetica Neue" w:eastAsia="Helvetica Neue" w:hAnsi="Helvetica Neue"/>
      <w:b w:val="0"/>
      <w:bCs w:val="0"/>
      <w:color w:val="000000"/>
      <w:sz w:val="48"/>
      <w:szCs w:val="48"/>
    </w:rPr>
  </w:style>
  <w:style w:type="paragraph" w:styleId="Heading2">
    <w:name w:val="heading 2"/>
    <w:basedOn w:val="Normal"/>
    <w:next w:val="Normal"/>
    <w:pPr>
      <w:keepNext w:val="1"/>
      <w:keepLines w:val="1"/>
      <w:spacing w:after="120" w:before="280" w:lineRule="auto"/>
    </w:pPr>
    <w:rPr>
      <w:rFonts w:ascii="Helvetica Neue" w:cs="Helvetica Neue" w:eastAsia="Helvetica Neue" w:hAnsi="Helvetica Neue"/>
      <w:b w:val="0"/>
      <w:bCs w:val="0"/>
      <w:color w:val="000000"/>
      <w:sz w:val="30"/>
      <w:szCs w:val="30"/>
    </w:rPr>
  </w:style>
  <w:style w:type="paragraph" w:styleId="Heading3">
    <w:name w:val="heading 3"/>
    <w:basedOn w:val="Normal"/>
    <w:next w:val="Normal"/>
    <w:pPr>
      <w:keepNext w:val="1"/>
      <w:keepLines w:val="1"/>
      <w:spacing w:after="80" w:before="200" w:lineRule="auto"/>
    </w:pPr>
    <w:rPr>
      <w:rFonts w:ascii="Helvetica Neue" w:cs="Helvetica Neue" w:eastAsia="Helvetica Neue" w:hAnsi="Helvetica Neue"/>
      <w:b w:val="1"/>
      <w:bCs w:val="1"/>
      <w:color w:val="000000"/>
      <w:sz w:val="24"/>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b w:val="1"/>
      <w:bCs w:val="1"/>
      <w:sz w:val="80"/>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Source0" Type="http://schemas.openxmlformats.org/officeDocument/2006/relationships/hyperlink" Target="https://github.com/umgc/2026_fall_careconnect/blob/87f42ff1/backend/core/src/main/java/com/careconnect/model/Patient.java" TargetMode="External"/><Relationship Id="rIdSource1" Type="http://schemas.openxmlformats.org/officeDocument/2006/relationships/hyperlink" Target="https://github.com/umgc/2026_fall_careconnect/blob/75b5f75505f6cb4e8c73070efe9d85ec41d7699b/backend/core/src/main/java/com/careconnect/model/ehr/EhrAppointmentRecord.java" TargetMode="External"/><Relationship Id="rIdSource2" Type="http://schemas.openxmlformats.org/officeDocument/2006/relationships/hyperlink" Target="https://github.com/umgc/2026_fall_careconnect/blob/75b5f75505f6cb4e8c73070efe9d85ec41d7699b/backend/core/src/main/java/com/careconnect/service/ehr/EhrAppointmentMapper.java" TargetMode="External"/><Relationship Id="rIdSource3" Type="http://schemas.openxmlformats.org/officeDocument/2006/relationships/hyperlink" Target="https://github.com/umgc/2026_fall_careconnect/blob/75b5f75505f6cb4e8c73070efe9d85ec41d7699b/backend/core/src/main/java/com/careconnect/model/ehr/EhrPatientCrosswalk.java" TargetMode="External"/><Relationship Id="rIdSource4" Type="http://schemas.openxmlformats.org/officeDocument/2006/relationships/hyperlink" Target="https://github.com/umgc/2026_fall_careconnect/blob/75b5f75505f6cb4e8c73070efe9d85ec41d7699b/backend/core/src/main/java/com/careconnect/model/ehr/EhrSourceIdentity.java" TargetMode="External"/><Relationship Id="rIdSource5" Type="http://schemas.openxmlformats.org/officeDocument/2006/relationships/hyperlink" Target="https://docs.oracle.com/en/industries/health/millennium-platform-apis/mfrap/op-appointment-get.html" TargetMode="External"/><Relationship Id="rIdSource6" Type="http://schemas.openxmlformats.org/officeDocument/2006/relationships/hyperlink" Target="https://hl7.org/fhir/R4/patient-definitions.html" TargetMode="External"/><Relationship Id="rIdSource7" Type="http://schemas.openxmlformats.org/officeDocument/2006/relationships/hyperlink" Target="https://hl7.org/fhir/R4/appointment-definitions.html" TargetMode="External"/><Relationship Id="rIdSource8" Type="http://schemas.openxmlformats.org/officeDocument/2006/relationships/hyperlink" Target="https://github.com/umgc/2026_fall_careconnect/blob/75b5f75505f6cb4e8c73070efe9d85ec41d7699b/backend/core/src/main/java/com/careconnect/service/ehr/EhrAppointmentSyncService.java" TargetMode="External"/><Relationship Id="rIdSource9" Type="http://schemas.openxmlformats.org/officeDocument/2006/relationships/hyperlink" Target="https://github.com/umgc/2026_fall_careconnect/blob/75b5f75505f6cb4e8c73070efe9d85ec41d7699b/backend/core/src/main/java/com/careconnect/client/ehr/EhrApiClient.java" TargetMode="External"/><Relationship Id="rIdSource10" Type="http://schemas.openxmlformats.org/officeDocument/2006/relationships/hyperlink" Target="https://github.com/umgc/2026_fall_careconnect/blob/75b5f75505f6cb4e8c73070efe9d85ec41d7699b/backend/core/src/main/java/com/careconnect/model/ehr/EhrRawPayload.java" TargetMode="External"/><Relationship Id="rIdSource11" Type="http://schemas.openxmlformats.org/officeDocument/2006/relationships/hyperlink" Target="https://github.com/umgc/2026_fall_careconnect/blob/13488cf913a12221f0bd6cafa60c6338b507b14c"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