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TDD addendum</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Patient and Appointment design</w:t>
              <w:br/>
              <w:t>Team C • Milestone 2</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For Terence Boyce</w:t>
              <w:br/>
              <w:t>Draft • September 17, 2026</w:t>
            </w:r>
          </w:p>
          <w:p w14:paraId="00000007">
            <w:pPr>
              <w:spacing w:after="0" w:line="240" w:lineRule="auto"/>
              <w:rPr>
                <w:color w:val="666666"/>
              </w:rPr>
            </w:pPr>
            <w:r>
              <w:rPr>
                <w:color w:val="666666"/>
                <w:rtl w:val="0"/>
              </w:rPr>
              <w:t xml:space="preserve"/>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936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Scope and status</w:t>
              <w:tab/>
              <w:t xml:space="preserve">2</w:t>
            </w:r>
          </w:hyperlink>
          <w:r>
            <w:rPr>
              <w:rtl w:val="0"/>
            </w:rPr>
          </w:r>
        </w:p>
        <w:p w14:paraId="0000000C">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Design choices</w:t>
              <w:tab/>
              <w:t xml:space="preserve">2</w:t>
            </w:r>
          </w:hyperlink>
          <w:r>
            <w:rPr>
              <w:rtl w:val="0"/>
            </w:rPr>
          </w:r>
        </w:p>
        <w:p w14:paraId="0000000D">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TDD placement</w:t>
              <w:tab/>
              <w:t xml:space="preserve">2</w:t>
            </w:r>
          </w:hyperlink>
          <w:r>
            <w:rPr>
              <w:rtl w:val="0"/>
            </w:rPr>
          </w:r>
        </w:p>
        <w:p w14:paraId="0000000E">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Design detail</w:t>
              <w:tab/>
              <w:t xml:space="preserve">3</w:t>
            </w:r>
          </w:hyperlink>
          <w:r>
            <w:rPr>
              <w:rtl w:val="0"/>
            </w:rPr>
          </w:r>
        </w:p>
        <w:p w14:paraId="0000000F">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Data and API contracts</w:t>
              <w:tab/>
              <w:t xml:space="preserve">3</w:t>
            </w:r>
          </w:hyperlink>
          <w:r>
            <w:rPr>
              <w:rtl w:val="0"/>
            </w:rPr>
          </w:r>
        </w:p>
        <w:p w14:paraId="00000010">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Read and sync flow</w:t>
              <w:tab/>
              <w:t xml:space="preserve">4</w:t>
            </w:r>
          </w:hyperlink>
          <w:r>
            <w:rPr>
              <w:rtl w:val="0"/>
            </w:rPr>
          </w:r>
        </w:p>
        <w:p w14:paraId="00000011">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Open design gaps</w:t>
              <w:tab/>
              <w:t xml:space="preserve">5</w:t>
            </w:r>
          </w:hyperlink>
          <w:r>
            <w:rPr>
              <w:rtl w:val="0"/>
            </w:rPr>
          </w:r>
        </w:p>
        <w:p w14:paraId="00000012">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Tests and release gates</w:t>
              <w:tab/>
              <w:t xml:space="preserve">6</w:t>
            </w:r>
          </w:hyperlink>
          <w:r>
            <w:rPr>
              <w:rtl w:val="0"/>
            </w:rPr>
          </w:r>
        </w:p>
        <w:p w14:paraId="00000013">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Owners and next steps</w:t>
              <w:tab/>
              <w:t xml:space="preserve">6</w:t>
            </w:r>
          </w:hyperlink>
          <w:r>
            <w:rPr>
              <w:rtl w:val="0"/>
            </w:rPr>
          </w:r>
        </w:p>
        <w:p w14:paraId="00000014">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Evidence and trace</w:t>
              <w:tab/>
              <w:t xml:space="preserve">7</w:t>
            </w:r>
          </w:hyperlink>
          <w:r>
            <w:rPr>
              <w:rtl w:val="0"/>
            </w:rPr>
          </w:r>
        </w:p>
        <w:p w14:paraId="00000015">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WBS fit</w:t>
              <w:tab/>
              <w:t xml:space="preserve">7</w:t>
            </w:r>
          </w:hyperlink>
          <w:r>
            <w:rPr>
              <w:rtl w:val="0"/>
            </w:rPr>
          </w:r>
        </w:p>
        <w:p w14:paraId="00000016">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Sources</w:t>
              <w:tab/>
              <w:t xml:space="preserve">8</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Scope and status</w:t>
      </w:r>
    </w:p>
    <w:p w14:paraId="00000018">
      <w:pPr>
        <w:rPr/>
      </w:pPr>
      <w:r>
        <w:rPr>
          <w:rtl w:val="0"/>
        </w:rPr>
        <w:t xml:space="preserve">This draft adds the Patient and Appointment design to Team C’s Milestone 2 TDD. It supports the read-only Cerner connector. The companion FHIR mapping gives field rules P01–P10 and A01–A12.</w:t>
      </w:r>
    </w:p>
    <w:p w14:paraId="00000018">
      <w:pPr>
        <w:rPr/>
      </w:pPr>
      <w:r>
        <w:rPr>
          <w:rtl w:val="0"/>
        </w:rPr>
        <w:t xml:space="preserve">Prepared for Terence Boyce, Technical Architect, with Codex support. This is a design contribution ready for review. It does not claim that Cerner sign-in, sync code or milestone acceptance is complete.</w:t>
      </w:r>
    </w:p>
    <w:bookmarkStart w:colFirst="0" w:colLast="0" w:name="bookmark=id.1sqjewf8afxt" w:id="2"/>
    <w:bookmarkEnd w:id="2"/>
    <w:p w14:paraId="0000001A">
      <w:pPr>
        <w:pStyle w:val="Heading2"/>
        <w:rPr/>
      </w:pPr>
      <w:r>
        <w:rPr>
          <w:rtl w:val="0"/>
        </w:rPr>
        <w:t xml:space="preserve">Design choices</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Use the shared EHR model as the candidate target. Extend it where needed. Avoid a second set of Cerner-only patient tables.</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Match by a verified source link. Keep source data apart from the local Patient record. The shared reconciler owns local demographic changes.</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Keep times as instants, preserve source status and limit each read to the linked patient. External write-back stays out of scope.</w:t>
      </w:r>
    </w:p>
    <w:bookmarkStart w:colFirst="0" w:colLast="0" w:name="bookmark=id.4t4jj91ycfx" w:id="3"/>
    <w:bookmarkEnd w:id="3"/>
    <w:p w14:paraId="0000001E">
      <w:pPr>
        <w:pStyle w:val="Heading2"/>
        <w:rPr/>
      </w:pPr>
      <w:r>
        <w:rPr>
          <w:rtl w:val="0"/>
        </w:rPr>
        <w:t xml:space="preserve">TDD placement</w:t>
      </w:r>
    </w:p>
    <w:p w14:paraId="00000018">
      <w:pPr>
        <w:rPr/>
      </w:pPr>
      <w:r>
        <w:rPr>
          <w:rtl w:val="0"/>
        </w:rPr>
        <w:t xml:space="preserve">Attach to TeamC_M2_TDD_Expansion_2026-09-09_v2. Adds detail to sections 3 (architecture), 5–7 (Cerner, APIs and data), 9 (external services), 11–12 (security and errors), 14 (testability) and 18 (decisions). Existing content stays intact.</w:t>
      </w:r>
    </w:p>
    <w:p w14:paraId="00000018">
      <w:pPr>
        <w:rPr/>
      </w:pPr>
      <w:r>
        <w:rPr>
          <w:rtl w:val="0"/>
        </w:rPr>
        <w:t xml:space="preserve">This addendum proposes decisions TC-PA-01 through TC-PA-04. They supplement the existing M2-ADR set. All four await team review. Test IDs PA-T01–PA-T10 link to the existing ST plan; they do not replace it.</w:t>
      </w:r>
    </w:p>
    <w:bookmarkStart w:colFirst="0" w:colLast="0" w:name="bookmark=id.xx7bxdemqiq" w:id="4"/>
    <w:bookmarkEnd w:id="4"/>
    <w:p w14:paraId="00000021">
      <w:pPr>
        <w:pStyle w:val="Heading1"/>
        <w:pageBreakBefore w:val="1"/>
        <w:rPr/>
      </w:pPr>
      <w:r>
        <w:rPr>
          <w:rtl w:val="0"/>
        </w:rPr>
        <w:t xml:space="preserve">Design detail</w:t>
      </w:r>
    </w:p>
    <w:p w14:paraId="00000018">
      <w:pPr>
        <w:rPr/>
      </w:pPr>
      <w:r>
        <w:rPr>
          <w:rtl w:val="0"/>
        </w:rPr>
        <w:t xml:space="preserve">Proposed boundary: UI → CareConnect API → access check and verified patient link → Cerner adapter → FHIR service. The server maps the result to a source view. The UI does not hold vendor tokens or call Oracle directly.</w:t>
      </w:r>
    </w:p>
    <w:p w14:paraId="00000023">
      <w:pPr>
        <w:pStyle w:val="Heading2"/>
        <w:rPr/>
      </w:pPr>
      <w:r>
        <w:rPr>
          <w:rtl w:val="0"/>
        </w:rPr>
        <w:t xml:space="preserve">Data and API contracts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1"/>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Contract</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Use now / candidate</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Required design change</w:t>
            </w:r>
            <w:r>
              <w:rPr>
                <w:rtl w:val="0"/>
              </w:rPr>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Patient link</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EhrPatientCrosswalk [R4]</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For Cerner, externalPatientId must be FHIR Patient.id, not an MRN. Add endpoint/tenant scope. Define how merged source identities are reviewed.</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Patient snapshot</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EhrSourceIdentity [R5]</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 selected names, phone, email and full birth date. Add date precision, source gender/language and provenance where required. Do not force partial dates into LocalDate.</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Appointment</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EhrAppointmentRecord [R2]</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source ID and status. Add offset-safe times and needed structured fields. Keep a patient-bound view; no automatic Task or ScheduledVisit creation.</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Fetch request</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EhrApiClient [R10]</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Current input is resource type + patient ID. Proposed: add a typed time window and page controls for Oracle. Restrict resource types and the source base to configured values.</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Fetch result</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Proposed adapter result</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items; next cursor; warnings; fetchedAt; completion state. Carry source version/update time per item. Never treat an interrupted list as a full snapshot.</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API view</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Proposed, route not yet fixed</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Return allowed fields, source label, last successful sync time and safe warnings. Send no grant, raw payload or hidden clinical note. Reuse existing patient access rules.</w:t>
            </w:r>
          </w:p>
        </w:tc>
      </w:tr>
    </w:tbl>
    <w:p w14:paraId="00000018">
      <w:pPr>
        <w:rPr/>
      </w:pPr>
      <w:r>
        <w:rPr>
          <w:rtl w:val="0"/>
        </w:rPr>
        <w:t xml:space="preserve">TC-PA-01: approve the shared target plus tenant scope. TC-PA-02: approve UTC instants and retained source precision. TC-PA-03: approve the field map and single linked-patient scope. TC-PA-04: approve safe sync states and tests. These are proposals.</w:t>
      </w:r>
    </w:p>
    <w:p w14:paraId="00000025">
      <w:pPr>
        <w:pStyle w:val="Heading2"/>
        <w:rPr/>
      </w:pPr>
      <w:r>
        <w:rPr>
          <w:rtl w:val="0"/>
        </w:rPr>
        <w:t xml:space="preserve">Read and sync flow</w:t>
      </w:r>
    </w:p>
    <w:p w14:paraId="00000018">
      <w:pPr>
        <w:rPr/>
      </w:pPr>
      <w:r>
        <w:rPr>
          <w:rtl w:val="0"/>
        </w:rPr>
        <w:t xml:space="preserve">1. Check the local user’s right to the patient. Resolve a verified crosswalk entry. For a secure read, require a valid grant for the intended issuer and permitted scope. Do not let a caller supply a new issuer URL.</w:t>
      </w:r>
    </w:p>
    <w:p w14:paraId="00000018">
      <w:pPr>
        <w:rPr/>
      </w:pPr>
      <w:r>
        <w:rPr>
          <w:rtl w:val="0"/>
        </w:rPr>
        <w:t xml:space="preserve">2. Read Patient/{externalPatientId}. For Appointment, send patient plus a bounded UTC time range. The tested form uses ge and lt with full times. A date-only range failed. Oracle also supports -date-or-req-period; review that path if proposed visits must be shown. [R6; E3–E4]</w:t>
      </w:r>
    </w:p>
    <w:p w14:paraId="00000018">
      <w:pPr>
        <w:rPr/>
      </w:pPr>
      <w:r>
        <w:rPr>
          <w:rtl w:val="0"/>
        </w:rPr>
        <w:t xml:space="preserve">3. Validate resource type, logical ID and patient link before storage. Map only the fields in the companion map. Keep all source codes needed to preserve meaning. Do not infer identity from names.</w:t>
      </w:r>
    </w:p>
    <w:p w14:paraId="00000018">
      <w:pPr>
        <w:rPr/>
      </w:pPr>
      <w:r>
        <w:rPr>
          <w:rtl w:val="0"/>
        </w:rPr>
        <w:t xml:space="preserve">4. Follow a next link only on the approved FHIR base. Apply page, response-size and time limits. Save a checkpoint only after a batch commits. Upsert by scoped identity; make repeat runs safe.</w:t>
      </w:r>
    </w:p>
    <w:p w14:paraId="00000018">
      <w:pPr>
        <w:rPr/>
      </w:pPr>
      <w:r>
        <w:rPr>
          <w:rtl w:val="0"/>
        </w:rPr>
        <w:t xml:space="preserve">5. End with COMPLETE, PARTIAL or FAILED. Proposed detail codes include REAUTH_REQUIRED, ACCESS_DENIED, SOURCE_UNAVAILABLE and DATA_REVIEW. Empty COMPLETE results are valid; PARTIAL is never “no appointments.”</w:t>
      </w:r>
    </w:p>
    <w:p w14:paraId="00000018">
      <w:pPr>
        <w:rPr/>
      </w:pPr>
      <w:r>
        <w:rPr>
          <w:rtl w:val="0"/>
        </w:rPr>
        <w:t xml:space="preserve">6. For 401, use the agreed grant renewal path or request a new sign-in. Do not loop. For 403, stop. For 429, honor Retry-After within limits. For timeouts/5xx, use capped retries. Keep the last good view and show its age.</w:t>
      </w:r>
    </w:p>
    <w:bookmarkStart w:colFirst="0" w:colLast="0" w:name="bookmark=id.suv0vlq0gz4r" w:id="5"/>
    <w:bookmarkEnd w:id="5"/>
    <w:p w14:paraId="0000002A">
      <w:pPr>
        <w:pStyle w:val="Heading2"/>
        <w:rPr/>
        <w:pageBreakBefore w:val="1"/>
      </w:pPr>
      <w:r>
        <w:rPr>
          <w:rtl w:val="0"/>
        </w:rPr>
        <w:t xml:space="preserve">Open design gaps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1"/>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Gap in snapshot</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Evidence</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Proposed resolution</w:t>
            </w:r>
            <w:r>
              <w:rPr>
                <w:rtl w:val="0"/>
              </w:rPr>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 zone loss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Mapper uses OffsetDateTime.parse(...).toLocalDateTime(). [R3]</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 Instant or offset-aware storage. Test two offsets for the same instant, daylight-saving changes and date rollover.</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Tenant key</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Source has a vendor code; crosswalk uses source + external ID. [R4]</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Add explicit endpoint/tenant identity, or enforce one endpoint per source until a schema change is agreed.</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Field loss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Mapper selects first service coding, one provider and one location. [R3]</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structured source fields. Derive display text only after the full map is valid.</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Raw payload scope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Sync stores raw before map inside one transaction. No cap in raw model. [R9, R11]</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Do not assume a failed map preserves raw data after rollback. Use a deliberate quarantine path with size, access and retention rules.</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Patient validation</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Sync hands its Patient to the mapper; mapper does not compare participant identity. [R3, R9]</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Validate returned patient references before writes. Add wrong-patient and absolute-reference tests.</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Time-window input</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Shared fetch contract has no date window. [R10]</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Extend the shared contract or configure an explicit Oracle window. Do not hide an unbounded default in the adapter.</w:t>
            </w:r>
          </w:p>
        </w:tc>
      </w:tr>
    </w:tbl>
    <w:p w14:paraId="00000018">
      <w:pPr>
        <w:rPr/>
      </w:pPr>
      <w:r>
        <w:rPr>
          <w:rtl w:val="0"/>
        </w:rPr>
        <w:t xml:space="preserve">Security boundary: keep grants server-side. Log a correlation ID, source, action, result code and count. Exclude tokens, raw JSON, names, contacts and reason text. Raw payload retention needs a named owner and a set limit before use. UI labels use ARB keys; source clinical text is not machine-translated.</w:t>
      </w:r>
    </w:p>
    <w:bookmarkStart w:colFirst="0" w:colLast="0" w:name="bookmark=id.vvr4bduzzdc0" w:id="6"/>
    <w:bookmarkEnd w:id="6"/>
    <w:p w14:paraId="00000038">
      <w:pPr>
        <w:pStyle w:val="Heading1"/>
        <w:pageBreakBefore w:val="1"/>
        <w:rPr/>
      </w:pPr>
      <w:r>
        <w:rPr>
          <w:rtl w:val="0"/>
        </w:rPr>
        <w:t xml:space="preserve">Tests and release gates</w:t>
      </w:r>
    </w:p>
    <w:p w14:paraId="00000018">
      <w:pPr>
        <w:rPr/>
      </w:pPr>
      <w:r>
        <w:rPr>
          <w:rtl w:val="0"/>
        </w:rPr>
        <w:t xml:space="preserve">No CareConnect unit, database or secure end-to-end tests were run for this document task. The public sandbox checks passed only as listed in the companion map. Use these gates before calling the connector complete.</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1"/>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Gate / ST link</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Required evidence</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Status</w:t>
            </w:r>
            <w:r>
              <w:rPr>
                <w:rtl w:val="0"/>
              </w:rPr>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Map · ST-04</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PA-T01/02/06/07/09 pass with expected values and no lost meaning.</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Specified; not run</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Identity · ST-07/08</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PA-T03/05 pass; a user cannot read another patient or tenant.</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Specified; not run</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Time · ST-04</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PA-T04 passes with offset and day-change fixtures.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Specified; not run</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Sync · ST-05/06</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PA-T08 passes; retries, duplicate pages and rollback do not lose data.</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Specified; not run</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Privacy / locale · ST-09/10</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PA-T10 plus token/log scan and ARB label checks pass.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Specified; not run</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Live · ST-02/14</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Secure consent, code exchange, allowed reads, expiry and denied access pass.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Not performed</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Review / merge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Agreed target schema; reviewed PR; CI link; test report; accepted TDD.</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Pending team process</w:t>
            </w:r>
          </w:p>
        </w:tc>
      </w:tr>
    </w:tbl>
    <w:bookmarkStart w:colFirst="0" w:colLast="0" w:name="bookmark=id.rl3o3rp5qmnq" w:id="7"/>
    <w:bookmarkEnd w:id="7"/>
    <w:p w14:paraId="0000003D">
      <w:pPr>
        <w:pStyle w:val="Heading2"/>
        <w:rPr/>
      </w:pPr>
      <w:r>
        <w:rPr>
          <w:rtl w:val="0"/>
        </w:rPr>
        <w:t xml:space="preserve">Owners and next steps</w:t>
      </w:r>
    </w:p>
    <w:p w14:paraId="00000018">
      <w:pPr>
        <w:rPr/>
      </w:pPr>
      <w:r>
        <w:rPr>
          <w:rtl w:val="0"/>
        </w:rPr>
        <w:t xml:space="preserve">Terence can own the map, design decisions and gap review as the Technical Architect. This task produced those drafts. It did not create commits, run the secure flow or change another person’s work.</w:t>
      </w:r>
    </w:p>
    <w:p w14:paraId="00000018">
      <w:pPr>
        <w:rPr/>
      </w:pPr>
      <w:r>
        <w:rPr>
          <w:rtl w:val="0"/>
        </w:rPr>
        <w:t xml:space="preserve">Next: resolve TC-PA-01 and TC-PA-02 first. Then align the adapter contract, add fixture tests and update the PR against team-c-develop. QA owns the run record and sign-off. Schema and adapter owners must agree interface changes before integration.</w:t>
      </w:r>
    </w:p>
    <w:bookmarkStart w:colFirst="0" w:colLast="0" w:name="bookmark=id.cf45595vup8a" w:id="8"/>
    <w:bookmarkEnd w:id="8"/>
    <w:p w14:paraId="00000040">
      <w:pPr>
        <w:pStyle w:val="Heading1"/>
        <w:pageBreakBefore w:val="1"/>
        <w:rPr/>
      </w:pPr>
      <w:r>
        <w:rPr>
          <w:rtl w:val="0"/>
        </w:rPr>
        <w:t xml:space="preserve">Evidence and trace</w:t>
      </w:r>
    </w:p>
    <w:p w14:paraId="00000018">
      <w:pPr>
        <w:rPr/>
      </w:pPr>
      <w:r>
        <w:rPr>
          <w:rtl w:val="0"/>
        </w:rPr>
        <w:t xml:space="preserve">Source snapshot: Team C develop 13488cf9; Team C main 87f42ff1; shared candidate branch feature/b-ehr-identity-reconciliation-schema at 75b5f755. Shared code is cited as candidate work, not Team C’s merged implementation. Rashaad’s unpushed work was not inspected.</w:t>
      </w:r>
    </w:p>
    <w:bookmarkStart w:colFirst="0" w:colLast="0" w:name="bookmark=id.ptrg31dozyqs" w:id="9"/>
    <w:bookmarkEnd w:id="9"/>
    <w:p w14:paraId="00000041">
      <w:pPr>
        <w:pStyle w:val="Heading2"/>
        <w:rPr/>
      </w:pPr>
      <w:r>
        <w:rPr>
          <w:rtl w:val="0"/>
        </w:rPr>
        <w:t xml:space="preserve">WBS fit</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1"/>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WBS item</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Contribution from this work</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Completion boundary</w:t>
            </w:r>
            <w:r>
              <w:rPr>
                <w:rtl w:val="0"/>
              </w:rPr>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4.2 · l10n architecture audit</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Defines locale boundary and safe source text handling.</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Supports design; not a full l10n audit.</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4.3 / 4.5 · ARB batches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Names label needs: source, sync state, appointment state and safe errors.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ARB entries added or batches claimed complete.</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4.4 · SMART OAuth2 setup</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Defines where the secure grant gates Patient/Appointment reads.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Supports OAuth design. No secure token flow tested.</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M2 · September 19, 2026</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Review-ready map, TDD addendum and test cases.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Team acceptance and integration remain pending.</w:t>
            </w:r>
          </w:p>
        </w:tc>
      </w:tr>
    </w:tbl>
    <w:p w14:paraId="00000018">
      <w:pPr>
        <w:rPr/>
      </w:pPr>
      <w:r>
        <w:rPr>
          <w:rtl w:val="0"/>
        </w:rPr>
        <w:t xml:space="preserve">Baseline TDD and ST plan: /Volumes/TerenceB/SWEN670/notes/coursework/Team C Deliverables/Milestone 2/TeamC_M2_TDD_Expansion_2026-09-09_v2.md and TeamC_M2_Software_Test_Plan_Expansion_2026-09-09_v2.md. The original files were not changed.</w:t>
      </w:r>
    </w:p>
    <w:bookmarkStart w:colFirst="0" w:colLast="0" w:name="bookmark=id.nnk1eebni0ji" w:id="10"/>
    <w:bookmarkEnd w:id="10"/>
    <w:p w14:paraId="00000044">
      <w:pPr>
        <w:pStyle w:val="Heading2"/>
        <w:rPr/>
        <w:pageBreakBefore w:val="1"/>
      </w:pPr>
      <w:r>
        <w:rPr>
          <w:rtl w:val="0"/>
        </w:rPr>
        <w:t xml:space="preserve">Sources</w:t>
      </w:r>
    </w:p>
    <w:p w14:paraId="00000018">
      <w:pPr>
        <w:rPr/>
      </w:pPr>
      <w:hyperlink r:id="rIdSource0">
        <w:r>
          <w:rPr>
            <w:rtl w:val="0"/>
          </w:rPr>
          <w:t xml:space="preserve">R1 — CareConnect Patient model (main audit snapshot)</w:t>
        </w:r>
      </w:hyperlink>
    </w:p>
    <w:p w14:paraId="00000018">
      <w:pPr>
        <w:rPr/>
      </w:pPr>
      <w:hyperlink r:id="rIdSource1">
        <w:r>
          <w:rPr>
            <w:rtl w:val="0"/>
          </w:rPr>
          <w:t xml:space="preserve">R2 — Shared candidate model: EhrAppointmentRecord</w:t>
        </w:r>
      </w:hyperlink>
    </w:p>
    <w:p w14:paraId="00000018">
      <w:pPr>
        <w:rPr/>
      </w:pPr>
      <w:hyperlink r:id="rIdSource2">
        <w:r>
          <w:rPr>
            <w:rtl w:val="0"/>
          </w:rPr>
          <w:t xml:space="preserve">R3 — Shared candidate code: EhrAppointmentMapper</w:t>
        </w:r>
      </w:hyperlink>
    </w:p>
    <w:p w14:paraId="00000018">
      <w:pPr>
        <w:rPr/>
      </w:pPr>
      <w:hyperlink r:id="rIdSource3">
        <w:r>
          <w:rPr>
            <w:rtl w:val="0"/>
          </w:rPr>
          <w:t xml:space="preserve">R4 — Shared candidate identity: EhrPatientCrosswalk</w:t>
        </w:r>
      </w:hyperlink>
    </w:p>
    <w:p w14:paraId="00000018">
      <w:pPr>
        <w:rPr/>
      </w:pPr>
      <w:hyperlink r:id="rIdSource4">
        <w:r>
          <w:rPr>
            <w:rtl w:val="0"/>
          </w:rPr>
          <w:t xml:space="preserve">R5 — Shared candidate demographic snapshot</w:t>
        </w:r>
      </w:hyperlink>
    </w:p>
    <w:p w14:paraId="00000018">
      <w:pPr>
        <w:rPr/>
      </w:pPr>
      <w:hyperlink r:id="rIdSource5">
        <w:r>
          <w:rPr>
            <w:rtl w:val="0"/>
          </w:rPr>
          <w:t xml:space="preserve">R6 — Oracle Health: appointment search rules</w:t>
        </w:r>
      </w:hyperlink>
    </w:p>
    <w:p w14:paraId="00000018">
      <w:pPr>
        <w:rPr/>
      </w:pPr>
      <w:hyperlink r:id="rIdSource6">
        <w:r>
          <w:rPr>
            <w:rtl w:val="0"/>
          </w:rPr>
          <w:t xml:space="preserve">R7 — HL7 FHIR R4: Patient field definitions</w:t>
        </w:r>
      </w:hyperlink>
    </w:p>
    <w:p w14:paraId="00000018">
      <w:pPr>
        <w:rPr/>
      </w:pPr>
      <w:hyperlink r:id="rIdSource7">
        <w:r>
          <w:rPr>
            <w:rtl w:val="0"/>
          </w:rPr>
          <w:t xml:space="preserve">R8 — HL7 FHIR R4: Appointment field definitions</w:t>
        </w:r>
      </w:hyperlink>
    </w:p>
    <w:p w14:paraId="00000018">
      <w:pPr>
        <w:rPr/>
      </w:pPr>
      <w:hyperlink r:id="rIdSource8">
        <w:r>
          <w:rPr>
            <w:rtl w:val="0"/>
          </w:rPr>
          <w:t xml:space="preserve">R9 — Shared candidate sync service</w:t>
        </w:r>
      </w:hyperlink>
    </w:p>
    <w:p w14:paraId="00000018">
      <w:pPr>
        <w:rPr/>
      </w:pPr>
      <w:hyperlink r:id="rIdSource9">
        <w:r>
          <w:rPr>
            <w:rtl w:val="0"/>
          </w:rPr>
          <w:t xml:space="preserve">R10 — Shared candidate adapter contract</w:t>
        </w:r>
      </w:hyperlink>
    </w:p>
    <w:p w14:paraId="00000018">
      <w:pPr>
        <w:rPr/>
      </w:pPr>
      <w:hyperlink r:id="rIdSource10">
        <w:r>
          <w:rPr>
            <w:rtl w:val="0"/>
          </w:rPr>
          <w:t xml:space="preserve">R11 — Shared candidate raw payload model</w:t>
        </w:r>
      </w:hyperlink>
    </w:p>
    <w:p w14:paraId="00000018">
      <w:pPr>
        <w:rPr/>
      </w:pPr>
      <w:hyperlink r:id="rIdSource11">
        <w:r>
          <w:rPr>
            <w:rtl w:val="0"/>
          </w:rPr>
          <w:t xml:space="preserve">R12 — Team C develop snapshot</w:t>
        </w:r>
      </w:hyperlink>
    </w:p>
    <w:p w14:paraId="00000018">
      <w:pPr>
        <w:rPr/>
      </w:pPr>
      <w:r>
        <w:rPr>
          <w:rtl w:val="0"/>
        </w:rPr>
        <w:t xml:space="preserve">Reference links point to the audit snapshot or the FHIR R4 source. These are design inputs, not proof that a proposed change has shipped.</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Team C • TDD addendum</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September 17,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Source0" Type="http://schemas.openxmlformats.org/officeDocument/2006/relationships/hyperlink" Target="https://github.com/umgc/2026_fall_careconnect/blob/87f42ff1/backend/core/src/main/java/com/careconnect/model/Patient.java" TargetMode="External"/><Relationship Id="rIdSource1" Type="http://schemas.openxmlformats.org/officeDocument/2006/relationships/hyperlink" Target="https://github.com/umgc/2026_fall_careconnect/blob/75b5f75505f6cb4e8c73070efe9d85ec41d7699b/backend/core/src/main/java/com/careconnect/model/ehr/EhrAppointmentRecord.java" TargetMode="External"/><Relationship Id="rIdSource2" Type="http://schemas.openxmlformats.org/officeDocument/2006/relationships/hyperlink" Target="https://github.com/umgc/2026_fall_careconnect/blob/75b5f75505f6cb4e8c73070efe9d85ec41d7699b/backend/core/src/main/java/com/careconnect/service/ehr/EhrAppointmentMapper.java" TargetMode="External"/><Relationship Id="rIdSource3" Type="http://schemas.openxmlformats.org/officeDocument/2006/relationships/hyperlink" Target="https://github.com/umgc/2026_fall_careconnect/blob/75b5f75505f6cb4e8c73070efe9d85ec41d7699b/backend/core/src/main/java/com/careconnect/model/ehr/EhrPatientCrosswalk.java" TargetMode="External"/><Relationship Id="rIdSource4" Type="http://schemas.openxmlformats.org/officeDocument/2006/relationships/hyperlink" Target="https://github.com/umgc/2026_fall_careconnect/blob/75b5f75505f6cb4e8c73070efe9d85ec41d7699b/backend/core/src/main/java/com/careconnect/model/ehr/EhrSourceIdentity.java" TargetMode="External"/><Relationship Id="rIdSource5" Type="http://schemas.openxmlformats.org/officeDocument/2006/relationships/hyperlink" Target="https://docs.oracle.com/en/industries/health/millennium-platform-apis/mfrap/op-appointment-get.html" TargetMode="External"/><Relationship Id="rIdSource6" Type="http://schemas.openxmlformats.org/officeDocument/2006/relationships/hyperlink" Target="https://hl7.org/fhir/R4/patient-definitions.html" TargetMode="External"/><Relationship Id="rIdSource7" Type="http://schemas.openxmlformats.org/officeDocument/2006/relationships/hyperlink" Target="https://hl7.org/fhir/R4/appointment-definitions.html" TargetMode="External"/><Relationship Id="rIdSource8" Type="http://schemas.openxmlformats.org/officeDocument/2006/relationships/hyperlink" Target="https://github.com/umgc/2026_fall_careconnect/blob/75b5f75505f6cb4e8c73070efe9d85ec41d7699b/backend/core/src/main/java/com/careconnect/service/ehr/EhrAppointmentSyncService.java" TargetMode="External"/><Relationship Id="rIdSource9" Type="http://schemas.openxmlformats.org/officeDocument/2006/relationships/hyperlink" Target="https://github.com/umgc/2026_fall_careconnect/blob/75b5f75505f6cb4e8c73070efe9d85ec41d7699b/backend/core/src/main/java/com/careconnect/client/ehr/EhrApiClient.java" TargetMode="External"/><Relationship Id="rIdSource10" Type="http://schemas.openxmlformats.org/officeDocument/2006/relationships/hyperlink" Target="https://github.com/umgc/2026_fall_careconnect/blob/75b5f75505f6cb4e8c73070efe9d85ec41d7699b/backend/core/src/main/java/com/careconnect/model/ehr/EhrRawPayload.java" TargetMode="External"/><Relationship Id="rIdSource11" Type="http://schemas.openxmlformats.org/officeDocument/2006/relationships/hyperlink" Target="https://github.com/umgc/2026_fall_careconnect/blob/13488cf913a12221f0bd6cafa60c6338b507b14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