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220"/>
        <w:jc w:val="center"/>
        <w:rPr/>
      </w:pPr>
      <w:r>
        <w:rPr>
          <w:b/>
          <w:bCs/>
          <w:sz w:val="40"/>
          <w:szCs w:val="40"/>
        </w:rPr>
        <w:t>SOFTWARE REQUIREMENTS SPECIFICATION</w:t>
      </w:r>
    </w:p>
    <w:p>
      <w:pPr>
        <w:pStyle w:val="Normal"/>
        <w:suppressLineNumbers w:val="0"/>
        <w:bidi w:val="0"/>
        <w:spacing w:lineRule="auto" w:line="276" w:beforeAutospacing="0" w:before="0" w:afterAutospacing="0" w:after="120"/>
        <w:ind w:left="0" w:right="0"/>
        <w:jc w:val="center"/>
        <w:rPr/>
      </w:pPr>
      <w:r>
        <w:rPr>
          <w:b/>
          <w:bCs/>
          <w:sz w:val="30"/>
          <w:szCs w:val="30"/>
        </w:rPr>
        <w:t>Connecting to Medicare | Team ECHO</w:t>
      </w:r>
    </w:p>
    <w:p>
      <w:pPr>
        <w:pStyle w:val="Normal"/>
        <w:suppressLineNumbers w:val="0"/>
        <w:bidi w:val="0"/>
        <w:spacing w:lineRule="auto" w:line="276" w:beforeAutospacing="0" w:before="0" w:afterAutospacing="0" w:after="120"/>
        <w:ind w:left="0" w:right="0"/>
        <w:jc w:val="center"/>
        <w:rPr>
          <w:b/>
          <w:bCs/>
          <w:sz w:val="30"/>
          <w:szCs w:val="30"/>
        </w:rPr>
      </w:pPr>
      <w:r>
        <w:rPr>
          <w:b/>
          <w:bCs/>
          <w:sz w:val="30"/>
          <w:szCs w:val="30"/>
        </w:rPr>
      </w:r>
    </w:p>
    <w:p>
      <w:pPr>
        <w:pStyle w:val="Normal"/>
        <w:spacing w:before="0" w:after="80"/>
        <w:jc w:val="center"/>
        <w:rPr/>
      </w:pPr>
      <w:r>
        <w:rPr>
          <w:sz w:val="24"/>
          <w:szCs w:val="24"/>
        </w:rPr>
        <w:t>University of Maryland Global Campus</w:t>
      </w:r>
    </w:p>
    <w:p>
      <w:pPr>
        <w:pStyle w:val="Normal"/>
        <w:spacing w:before="0" w:after="80"/>
        <w:jc w:val="center"/>
        <w:rPr/>
      </w:pPr>
      <w:r>
        <w:rPr>
          <w:sz w:val="24"/>
          <w:szCs w:val="24"/>
        </w:rPr>
        <w:t>School of Cybersecurity and Information Technology</w:t>
      </w:r>
    </w:p>
    <w:p>
      <w:pPr>
        <w:pStyle w:val="Normal"/>
        <w:spacing w:before="0" w:after="80"/>
        <w:jc w:val="center"/>
        <w:rPr/>
      </w:pPr>
      <w:r>
        <w:rPr>
          <w:sz w:val="24"/>
          <w:szCs w:val="24"/>
        </w:rPr>
        <w:t>SWEN 670: Software Engineering Capstone</w:t>
      </w:r>
    </w:p>
    <w:p>
      <w:pPr>
        <w:pStyle w:val="Normal"/>
        <w:spacing w:before="0" w:after="380"/>
        <w:jc w:val="center"/>
        <w:rPr/>
      </w:pPr>
      <w:r>
        <w:rPr>
          <w:sz w:val="24"/>
          <w:szCs w:val="24"/>
        </w:rPr>
        <w:t>Professor: Dr. Assadullah</w:t>
      </w:r>
    </w:p>
    <w:p>
      <w:pPr>
        <w:pStyle w:val="Normal"/>
        <w:spacing w:before="0" w:after="80"/>
        <w:jc w:val="center"/>
        <w:rPr/>
      </w:pPr>
      <w:r>
        <w:rPr/>
        <w:t>Team Members: Rich, Kris, Shayne, Max, Abel, Camilla, Crystal (Quinton — inactive, unassigned)</w:t>
      </w:r>
    </w:p>
    <w:p>
      <w:pPr>
        <w:pStyle w:val="Normal"/>
        <w:spacing w:before="0" w:after="80"/>
        <w:jc w:val="center"/>
        <w:rPr/>
      </w:pPr>
      <w:r>
        <w:rPr/>
        <w:t>Milestone: 1  |  Document Version: 0.91 (Draft)  |  Date: August 25, 2026</w:t>
      </w:r>
    </w:p>
    <w:p>
      <w:pPr>
        <w:pStyle w:val="Normal"/>
        <w:spacing w:before="0" w:after="80"/>
        <w:jc w:val="center"/>
        <w:rPr/>
      </w:pPr>
      <w:r>
        <w:rPr/>
      </w:r>
    </w:p>
    <w:p>
      <w:pPr>
        <w:pStyle w:val="Normal"/>
        <w:spacing w:before="0" w:after="80"/>
        <w:jc w:val="center"/>
        <w:rPr/>
      </w:pPr>
      <w:r>
        <w:rPr/>
      </w:r>
    </w:p>
    <w:p>
      <w:pPr>
        <w:pStyle w:val="Heading1"/>
        <w:rPr/>
      </w:pPr>
      <w:bookmarkStart w:id="0" w:name="__RefHeading___Toc10264_627777545"/>
      <w:bookmarkStart w:id="1" w:name="_Toc236656506"/>
      <w:bookmarkEnd w:id="0"/>
      <w:r>
        <w:rPr/>
        <w:t>Document Control</w:t>
      </w:r>
      <w:bookmarkEnd w:id="1"/>
    </w:p>
    <w:p>
      <w:pPr>
        <w:pStyle w:val="Heading2"/>
        <w:rPr/>
      </w:pPr>
      <w:bookmarkStart w:id="2" w:name="__RefHeading___Toc10266_627777545"/>
      <w:bookmarkStart w:id="3" w:name="_Toc236656507"/>
      <w:bookmarkEnd w:id="2"/>
      <w:r>
        <w:rPr/>
        <w:t>Document Identification</w:t>
      </w:r>
      <w:bookmarkEnd w:id="3"/>
    </w:p>
    <w:p>
      <w:pPr>
        <w:pStyle w:val="Normal"/>
        <w:spacing w:before="0" w:after="40"/>
        <w:rPr/>
      </w:pPr>
      <w:r>
        <w:rPr>
          <w:b/>
        </w:rPr>
        <w:t>Table 1</w:t>
      </w:r>
    </w:p>
    <w:p>
      <w:pPr>
        <w:pStyle w:val="Normal"/>
        <w:spacing w:before="0" w:after="200"/>
        <w:rPr/>
      </w:pPr>
      <w:r>
        <w:rPr>
          <w:i/>
        </w:rPr>
        <w:t>Document Identification</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6479"/>
      </w:tblGrid>
      <w:tr>
        <w:trPr>
          <w:cantSplit w:val="true"/>
        </w:trPr>
        <w:tc>
          <w:tcPr>
            <w:tcW w:w="288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8"/>
              </w:rPr>
              <w:t>Field</w:t>
            </w:r>
          </w:p>
        </w:tc>
        <w:tc>
          <w:tcPr>
            <w:tcW w:w="6479"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8"/>
              </w:rPr>
              <w:t>Value</w:t>
            </w:r>
          </w:p>
        </w:tc>
      </w:tr>
      <w:tr>
        <w:trPr>
          <w:cantSplit w:val="true"/>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Document title</w:t>
            </w:r>
          </w:p>
        </w:tc>
        <w:tc>
          <w:tcPr>
            <w:tcW w:w="647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Software Requirements Specification — Connecting to Medicare, Team ECHO</w:t>
            </w:r>
          </w:p>
        </w:tc>
      </w:tr>
      <w:tr>
        <w:trPr>
          <w:cantSplit w:val="true"/>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Document ID</w:t>
            </w:r>
          </w:p>
        </w:tc>
        <w:tc>
          <w:tcPr>
            <w:tcW w:w="647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ECHO-SRS-001</w:t>
            </w:r>
          </w:p>
        </w:tc>
      </w:tr>
      <w:tr>
        <w:trPr>
          <w:cantSplit w:val="true"/>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Milestone covered</w:t>
            </w:r>
          </w:p>
        </w:tc>
        <w:tc>
          <w:tcPr>
            <w:tcW w:w="647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Milestone 1 — features specified to date; see Section 1.2 for what is completed and verified versus specified-only</w:t>
            </w:r>
          </w:p>
        </w:tc>
      </w:tr>
      <w:tr>
        <w:trPr>
          <w:cantSplit w:val="true"/>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Current version</w:t>
            </w:r>
          </w:p>
        </w:tc>
        <w:tc>
          <w:tcPr>
            <w:tcW w:w="647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0.91 (Draft)</w:t>
            </w:r>
          </w:p>
        </w:tc>
      </w:tr>
      <w:tr>
        <w:trPr>
          <w:cantSplit w:val="true"/>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Status</w:t>
            </w:r>
          </w:p>
        </w:tc>
        <w:tc>
          <w:tcPr>
            <w:tcW w:w="647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Draft</w:t>
            </w:r>
          </w:p>
        </w:tc>
      </w:tr>
      <w:tr>
        <w:trPr>
          <w:cantSplit w:val="true"/>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Owner</w:t>
            </w:r>
          </w:p>
        </w:tc>
        <w:tc>
          <w:tcPr>
            <w:tcW w:w="647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Rich — de facto requirements/architecture owner (WBS 1.3.1–1.3.4)</w:t>
            </w:r>
          </w:p>
        </w:tc>
      </w:tr>
      <w:tr>
        <w:trPr>
          <w:cantSplit w:val="true"/>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Classification</w:t>
            </w:r>
          </w:p>
        </w:tc>
        <w:tc>
          <w:tcPr>
            <w:tcW w:w="647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Academic, non-production. Contains no real PHI. Blue Button 2.0 sandbox and synthetic test data only.</w:t>
            </w:r>
          </w:p>
        </w:tc>
      </w:tr>
      <w:tr>
        <w:trPr>
          <w:cantSplit w:val="true"/>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Repository location</w:t>
            </w:r>
          </w:p>
        </w:tc>
        <w:tc>
          <w:tcPr>
            <w:tcW w:w="647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Team ECHO SWEN 670 OneDrive project folder</w:t>
            </w:r>
          </w:p>
        </w:tc>
      </w:tr>
      <w:tr>
        <w:trPr>
          <w:cantSplit w:val="true"/>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Track Changes state</w:t>
            </w:r>
          </w:p>
        </w:tc>
        <w:tc>
          <w:tcPr>
            <w:tcW w:w="647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8"/>
              </w:rPr>
              <w:t>Off for Milestone 1, per template convention. On, showing all edits since the previous milestone, from Milestone 2 onward.</w:t>
            </w:r>
          </w:p>
        </w:tc>
      </w:tr>
    </w:tbl>
    <w:p>
      <w:pPr>
        <w:pStyle w:val="Normal"/>
        <w:spacing w:before="0" w:after="240"/>
        <w:rPr/>
      </w:pPr>
      <w:r>
        <w:rPr>
          <w:i/>
          <w:sz w:val="18"/>
        </w:rPr>
        <w:t>Note. Graders read this block first to confirm which increment the document describes.</w:t>
      </w:r>
    </w:p>
    <w:p>
      <w:pPr>
        <w:pStyle w:val="Heading2"/>
        <w:rPr/>
      </w:pPr>
      <w:bookmarkStart w:id="4" w:name="__RefHeading___Toc10268_627777545"/>
      <w:bookmarkStart w:id="5" w:name="_Toc236656508"/>
      <w:bookmarkEnd w:id="4"/>
      <w:r>
        <w:rPr/>
        <w:t>Revision History</w:t>
      </w:r>
      <w:bookmarkEnd w:id="5"/>
    </w:p>
    <w:p>
      <w:pPr>
        <w:pStyle w:val="Normal"/>
        <w:spacing w:before="0" w:after="40"/>
        <w:rPr/>
      </w:pPr>
      <w:r>
        <w:rPr>
          <w:b/>
        </w:rPr>
        <w:t>Table 2</w:t>
      </w:r>
    </w:p>
    <w:p>
      <w:pPr>
        <w:pStyle w:val="Normal"/>
        <w:spacing w:before="0" w:after="200"/>
        <w:rPr/>
      </w:pPr>
      <w:r>
        <w:rPr>
          <w:i/>
        </w:rPr>
        <w:t>Revision History</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62"/>
        <w:gridCol w:w="1154"/>
        <w:gridCol w:w="1152"/>
        <w:gridCol w:w="1295"/>
        <w:gridCol w:w="2880"/>
        <w:gridCol w:w="2016"/>
      </w:tblGrid>
      <w:tr>
        <w:trPr>
          <w:cantSplit w:val="true"/>
        </w:trPr>
        <w:tc>
          <w:tcPr>
            <w:tcW w:w="86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Version</w:t>
            </w:r>
          </w:p>
        </w:tc>
        <w:tc>
          <w:tcPr>
            <w:tcW w:w="115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Date</w:t>
            </w:r>
          </w:p>
        </w:tc>
        <w:tc>
          <w:tcPr>
            <w:tcW w:w="115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Milestone</w:t>
            </w:r>
          </w:p>
        </w:tc>
        <w:tc>
          <w:tcPr>
            <w:tcW w:w="1295"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Author</w:t>
            </w:r>
          </w:p>
        </w:tc>
        <w:tc>
          <w:tcPr>
            <w:tcW w:w="288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Summary of Changes</w:t>
            </w:r>
          </w:p>
        </w:tc>
        <w:tc>
          <w:tcPr>
            <w:tcW w:w="2016"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Requirements Added / Changed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6"/>
              </w:rPr>
              <w:t>0.9</w:t>
            </w:r>
          </w:p>
        </w:tc>
        <w:tc>
          <w:tcPr>
            <w:tcW w:w="115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6"/>
              </w:rPr>
              <w:t>2026-08-25</w:t>
            </w:r>
          </w:p>
        </w:tc>
        <w:tc>
          <w:tcPr>
            <w:tcW w:w="115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6"/>
              </w:rPr>
              <w:t>M1</w:t>
            </w:r>
          </w:p>
        </w:tc>
        <w:tc>
          <w:tcPr>
            <w:tcW w:w="1295"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6"/>
              </w:rPr>
              <w:t>Rich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6"/>
              </w:rPr>
              <w:t>Initial draft — assembled from the Aug 15 client elicitation meeting, the requirements workbook (FR-MCR/FR-XSRC/NFR), the User Needs Analysis, and TDD Section 3.</w:t>
            </w:r>
          </w:p>
        </w:tc>
        <w:tc>
          <w:tcPr>
            <w:tcW w:w="20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6"/>
              </w:rPr>
              <w:t>FR-MCR-01–29, FR-XSRC-01–09, NFR-SEC/ACC/PERF (see Section 6)</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6"/>
              </w:rPr>
              <w:t>0.91</w:t>
            </w:r>
          </w:p>
        </w:tc>
        <w:tc>
          <w:tcPr>
            <w:tcW w:w="115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6"/>
              </w:rPr>
              <w:t>2026-08-25</w:t>
            </w:r>
          </w:p>
        </w:tc>
        <w:tc>
          <w:tcPr>
            <w:tcW w:w="115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6"/>
              </w:rPr>
              <w:t>M1</w:t>
            </w:r>
          </w:p>
        </w:tc>
        <w:tc>
          <w:tcPr>
            <w:tcW w:w="1295"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6"/>
              </w:rPr>
              <w:t>Rich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6"/>
              </w:rPr>
              <w:t>Incorporated Camilla's 2026-08-25 TDD Section 8 revision (Cross-Source Delta Resolution detail, TDD Figures 8-5/8-6). Added OQ-11 (Family Member/Administrator Medicare-access conflict between BR-02 and TDD Section 8) and OQ-12 (bilingual/localization gap) to the Open Questions Register; added a flag note after BR-02 documenting the conflict rather than silently resolving it; added the Trend/measurement view as a third flagged no-backing-FR UI gap in Section 8.1 and Figure 6.</w:t>
            </w:r>
          </w:p>
        </w:tc>
        <w:tc>
          <w:tcPr>
            <w:tcW w:w="20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6"/>
              </w:rPr>
              <w:t>OQ-11, OQ-12 (new). No FR/NFR numbering changed.</w:t>
            </w:r>
          </w:p>
        </w:tc>
      </w:tr>
    </w:tbl>
    <w:p>
      <w:pPr>
        <w:pStyle w:val="Normal"/>
        <w:spacing w:before="0" w:after="240"/>
        <w:rPr/>
      </w:pPr>
      <w:r>
        <w:rPr>
          <w:i/>
          <w:sz w:val="18"/>
        </w:rPr>
        <w:t>Note. The last column is what makes the revision history useful. A summary alone does not show which requirements moved.</w:t>
      </w:r>
    </w:p>
    <w:p>
      <w:pPr>
        <w:pStyle w:val="Heading2"/>
        <w:rPr/>
      </w:pPr>
      <w:bookmarkStart w:id="6" w:name="__RefHeading___Toc10270_627777545"/>
      <w:bookmarkStart w:id="7" w:name="_Toc236656509"/>
      <w:bookmarkEnd w:id="6"/>
      <w:r>
        <w:rPr/>
        <w:t>Approval and Sign-Off</w:t>
      </w:r>
      <w:bookmarkEnd w:id="7"/>
    </w:p>
    <w:p>
      <w:pPr>
        <w:pStyle w:val="Normal"/>
        <w:spacing w:before="0" w:after="40"/>
        <w:rPr/>
      </w:pPr>
      <w:r>
        <w:rPr>
          <w:b/>
        </w:rPr>
        <w:t>Table 3</w:t>
      </w:r>
    </w:p>
    <w:p>
      <w:pPr>
        <w:pStyle w:val="Normal"/>
        <w:spacing w:before="0" w:after="200"/>
        <w:rPr/>
      </w:pPr>
      <w:r>
        <w:rPr>
          <w:i/>
        </w:rPr>
        <w:t>Approval and Sign-Off</w:t>
      </w:r>
    </w:p>
    <w:tbl>
      <w:tblPr>
        <w:tblW w:w="84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82"/>
        <w:gridCol w:w="2162"/>
        <w:gridCol w:w="2304"/>
        <w:gridCol w:w="1295"/>
        <w:gridCol w:w="1153"/>
      </w:tblGrid>
      <w:tr>
        <w:trPr>
          <w:cantSplit w:val="true"/>
        </w:trPr>
        <w:tc>
          <w:tcPr>
            <w:tcW w:w="158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Name</w:t>
            </w:r>
          </w:p>
        </w:tc>
        <w:tc>
          <w:tcPr>
            <w:tcW w:w="216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Role</w:t>
            </w:r>
          </w:p>
        </w:tc>
        <w:tc>
          <w:tcPr>
            <w:tcW w:w="230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Approval Scope</w:t>
            </w:r>
          </w:p>
        </w:tc>
        <w:tc>
          <w:tcPr>
            <w:tcW w:w="1295"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Signature</w:t>
            </w:r>
          </w:p>
        </w:tc>
        <w:tc>
          <w:tcPr>
            <w:tcW w:w="1153"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Date</w:t>
            </w:r>
          </w:p>
        </w:tc>
      </w:tr>
      <w:tr>
        <w:trPr>
          <w:cantSplit w:val="true"/>
        </w:trPr>
        <w:tc>
          <w:tcPr>
            <w:tcW w:w="15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7"/>
              </w:rPr>
              <w:t>Rich</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7"/>
              </w:rPr>
              <w:t>Requirements Owner</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7"/>
              </w:rPr>
              <w:t>Full document</w:t>
            </w:r>
          </w:p>
        </w:tc>
        <w:tc>
          <w:tcPr>
            <w:tcW w:w="1295"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r>
          </w:p>
        </w:tc>
        <w:tc>
          <w:tcPr>
            <w:tcW w:w="11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r>
          </w:p>
        </w:tc>
      </w:tr>
      <w:tr>
        <w:trPr>
          <w:cantSplit w:val="true"/>
        </w:trPr>
        <w:tc>
          <w:tcPr>
            <w:tcW w:w="15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7"/>
              </w:rPr>
              <w:t>Technical Lead</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7"/>
              </w:rPr>
              <w:t>Sections 8, 9, 11, 12</w:t>
            </w:r>
          </w:p>
        </w:tc>
        <w:tc>
          <w:tcPr>
            <w:tcW w:w="1295"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r>
          </w:p>
        </w:tc>
        <w:tc>
          <w:tcPr>
            <w:tcW w:w="11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r>
          </w:p>
        </w:tc>
      </w:tr>
      <w:tr>
        <w:trPr>
          <w:cantSplit w:val="true"/>
        </w:trPr>
        <w:tc>
          <w:tcPr>
            <w:tcW w:w="15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7"/>
              </w:rPr>
              <w:t>Kris</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7"/>
              </w:rPr>
              <w:t>QA / Testing Lead</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7"/>
              </w:rPr>
              <w:t>Sections 14 and 15</w:t>
            </w:r>
          </w:p>
        </w:tc>
        <w:tc>
          <w:tcPr>
            <w:tcW w:w="1295"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r>
          </w:p>
        </w:tc>
        <w:tc>
          <w:tcPr>
            <w:tcW w:w="11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r>
          </w:p>
        </w:tc>
      </w:tr>
      <w:tr>
        <w:trPr>
          <w:cantSplit w:val="true"/>
        </w:trPr>
        <w:tc>
          <w:tcPr>
            <w:tcW w:w="15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7"/>
              </w:rPr>
              <w:t>Course instructors (acting as client/product owner)</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7"/>
              </w:rPr>
              <w:t>Client / Product Owner</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7"/>
              </w:rPr>
              <w:t>Sections 3, 5, 6, 10</w:t>
            </w:r>
          </w:p>
        </w:tc>
        <w:tc>
          <w:tcPr>
            <w:tcW w:w="1295"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r>
          </w:p>
        </w:tc>
        <w:tc>
          <w:tcPr>
            <w:tcW w:w="11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r>
          </w:p>
        </w:tc>
      </w:tr>
      <w:tr>
        <w:trPr>
          <w:cantSplit w:val="true"/>
        </w:trPr>
        <w:tc>
          <w:tcPr>
            <w:tcW w:w="15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7"/>
              </w:rPr>
              <w:t>Team Lead</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7"/>
              </w:rPr>
              <w:t>Submission</w:t>
            </w:r>
          </w:p>
        </w:tc>
        <w:tc>
          <w:tcPr>
            <w:tcW w:w="1295"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r>
          </w:p>
        </w:tc>
        <w:tc>
          <w:tcPr>
            <w:tcW w:w="11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r>
          </w:p>
        </w:tc>
      </w:tr>
    </w:tbl>
    <w:p>
      <w:pPr>
        <w:pStyle w:val="Normal"/>
        <w:spacing w:before="0" w:after="240"/>
        <w:rPr/>
      </w:pPr>
      <w:r>
        <w:rPr>
          <w:i/>
          <w:sz w:val="18"/>
        </w:rPr>
        <w:t>Note. Client sign-off on Sections 3, 5, 6, and 10 is what makes the requirements client-driven rather than team-invented. Technical Lead and Team Lead are not yet named in the Level 3 Assignment Register as of this draft.</w:t>
      </w:r>
    </w:p>
    <w:p>
      <w:pPr>
        <w:pStyle w:val="Heading2"/>
        <w:rPr/>
      </w:pPr>
      <w:bookmarkStart w:id="8" w:name="__RefHeading___Toc10272_627777545"/>
      <w:bookmarkStart w:id="9" w:name="_Toc236656510"/>
      <w:bookmarkEnd w:id="8"/>
      <w:r>
        <w:rPr/>
        <w:t>Relationship to the Other Capstone Artifacts</w:t>
      </w:r>
      <w:bookmarkEnd w:id="9"/>
    </w:p>
    <w:p>
      <w:pPr>
        <w:pStyle w:val="Normal"/>
        <w:spacing w:before="150" w:after="40"/>
        <w:rPr/>
      </w:pPr>
      <w:r>
        <w:rPr>
          <w:b/>
          <w:bCs/>
        </w:rPr>
        <w:t>Table 4</w:t>
      </w:r>
    </w:p>
    <w:p>
      <w:pPr>
        <w:pStyle w:val="Normal"/>
        <w:spacing w:before="0" w:after="80"/>
        <w:rPr/>
      </w:pPr>
      <w:r>
        <w:rPr>
          <w:i/>
          <w:iCs/>
        </w:rPr>
        <w:t>Cross-Reference to the Capstone Document Set</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398"/>
        <w:gridCol w:w="3600"/>
        <w:gridCol w:w="3362"/>
      </w:tblGrid>
      <w:tr>
        <w:trPr>
          <w:tblHeader w:val="true"/>
          <w:cantSplit w:val="true"/>
        </w:trPr>
        <w:tc>
          <w:tcPr>
            <w:tcW w:w="23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Artifact</w:t>
            </w:r>
          </w:p>
        </w:tc>
        <w:tc>
          <w:tcPr>
            <w:tcW w:w="36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What it takes from this SRS</w:t>
            </w:r>
          </w:p>
        </w:tc>
        <w:tc>
          <w:tcPr>
            <w:tcW w:w="336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What this SRS takes from it</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Project Plan</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Scope of the increment, priorities, effort drivers</w:t>
            </w:r>
          </w:p>
        </w:tc>
        <w:tc>
          <w:tcPr>
            <w:tcW w:w="33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Milestone dates, team roles, change control process</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Technical Design Document</w:t>
            </w:r>
          </w:p>
        </w:tc>
        <w:tc>
          <w:tcPr>
            <w:tcW w:w="3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Every requirement ID it must satisfy</w:t>
            </w:r>
          </w:p>
        </w:tc>
        <w:tc>
          <w:tcPr>
            <w:tcW w:w="33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Design element IDs for the traceability matrix</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Software Test Plan</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Requirement IDs and acceptance criteria</w:t>
            </w:r>
          </w:p>
        </w:tc>
        <w:tc>
          <w:tcPr>
            <w:tcW w:w="33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Test case IDs for the traceability matrix</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Test Report</w:t>
            </w:r>
          </w:p>
        </w:tc>
        <w:tc>
          <w:tcPr>
            <w:tcW w:w="3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Verification methods and acceptance criteria</w:t>
            </w:r>
          </w:p>
        </w:tc>
        <w:tc>
          <w:tcPr>
            <w:tcW w:w="33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Pass and fail results that set requirement status</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Programmer Guide</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Interface and data requirements</w:t>
            </w:r>
          </w:p>
        </w:tc>
        <w:tc>
          <w:tcPr>
            <w:tcW w:w="33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Build and environment facts referenced in Section 12</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Deployment and Operations Guide</w:t>
            </w:r>
          </w:p>
        </w:tc>
        <w:tc>
          <w:tcPr>
            <w:tcW w:w="3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Availability, backup, and observability requirements</w:t>
            </w:r>
          </w:p>
        </w:tc>
        <w:tc>
          <w:tcPr>
            <w:tcW w:w="33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Deployed environment details</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User Guide</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User class definitions and feature behavior</w:t>
            </w:r>
          </w:p>
        </w:tc>
        <w:tc>
          <w:tcPr>
            <w:tcW w:w="33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Wording used in the interface</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VPAT</w:t>
            </w:r>
          </w:p>
        </w:tc>
        <w:tc>
          <w:tcPr>
            <w:tcW w:w="3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Accessibility requirements in Section 11.7</w:t>
            </w:r>
          </w:p>
        </w:tc>
        <w:tc>
          <w:tcPr>
            <w:tcW w:w="33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Conformance findings that update those requirements</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Marketing and Usage Videos</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The feature list completed to date</w:t>
            </w:r>
          </w:p>
        </w:tc>
        <w:tc>
          <w:tcPr>
            <w:tcW w:w="33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Nothing</w:t>
            </w:r>
          </w:p>
        </w:tc>
      </w:tr>
    </w:tbl>
    <w:p>
      <w:pPr>
        <w:pStyle w:val="Normal"/>
        <w:spacing w:before="60" w:after="160"/>
        <w:rPr/>
      </w:pPr>
      <w:r>
        <w:rPr>
          <w:i/>
          <w:iCs/>
        </w:rPr>
        <w:t>Note. Do not duplicate content across artifacts. Cross-reference by identifier so a change lands in one place.</w:t>
      </w:r>
    </w:p>
    <w:p>
      <w:pPr>
        <w:pStyle w:val="Normal"/>
        <w:rPr/>
      </w:pPr>
      <w:r>
        <w:rPr/>
      </w:r>
      <w:r>
        <w:br w:type="page"/>
      </w:r>
    </w:p>
    <w:p>
      <w:pPr>
        <w:pStyle w:val="Normal"/>
        <w:spacing w:before="0" w:after="200"/>
        <w:rPr/>
      </w:pPr>
      <w:r>
        <w:rPr>
          <w:b/>
          <w:bCs/>
          <w:sz w:val="32"/>
          <w:szCs w:val="32"/>
        </w:rPr>
        <w:t>Table of Contents</w:t>
      </w:r>
    </w:p>
    <w:sdt>
      <w:sdtPr>
        <w:docPartObj>
          <w:docPartGallery w:val="Table of Contents"/>
          <w:docPartUnique w:val="true"/>
        </w:docPartObj>
      </w:sdtPr>
      <w:sdtContent>
        <w:p>
          <w:pPr>
            <w:pStyle w:val="TOC1"/>
            <w:tabs>
              <w:tab w:val="clear" w:pos="720"/>
              <w:tab w:val="right" w:pos="9359" w:leader="dot"/>
            </w:tabs>
            <w:rPr/>
          </w:pPr>
          <w:r>
            <w:fldChar w:fldCharType="begin"/>
          </w:r>
          <w:r>
            <w:rPr>
              <w:rStyle w:val="IndexLink"/>
            </w:rPr>
            <w:instrText xml:space="preserve"> TOC \o "1-3" \h</w:instrText>
          </w:r>
          <w:r>
            <w:rPr>
              <w:rStyle w:val="IndexLink"/>
            </w:rPr>
            <w:fldChar w:fldCharType="separate"/>
          </w:r>
          <w:hyperlink w:anchor="__RefHeading___Toc10264_627777545">
            <w:r>
              <w:rPr>
                <w:rStyle w:val="IndexLink"/>
              </w:rPr>
              <w:t>Document Control</w:t>
              <w:tab/>
              <w:t>1</w:t>
            </w:r>
          </w:hyperlink>
        </w:p>
        <w:p>
          <w:pPr>
            <w:pStyle w:val="TOC2"/>
            <w:tabs>
              <w:tab w:val="clear" w:pos="720"/>
              <w:tab w:val="right" w:pos="9359" w:leader="dot"/>
            </w:tabs>
            <w:rPr/>
          </w:pPr>
          <w:hyperlink w:anchor="__RefHeading___Toc10266_627777545">
            <w:r>
              <w:rPr>
                <w:rStyle w:val="IndexLink"/>
              </w:rPr>
              <w:t>Document Identification</w:t>
              <w:tab/>
              <w:t>1</w:t>
            </w:r>
          </w:hyperlink>
        </w:p>
        <w:p>
          <w:pPr>
            <w:pStyle w:val="TOC2"/>
            <w:tabs>
              <w:tab w:val="clear" w:pos="720"/>
              <w:tab w:val="right" w:pos="9359" w:leader="dot"/>
            </w:tabs>
            <w:rPr/>
          </w:pPr>
          <w:hyperlink w:anchor="__RefHeading___Toc10268_627777545">
            <w:r>
              <w:rPr>
                <w:rStyle w:val="IndexLink"/>
              </w:rPr>
              <w:t>Revision History</w:t>
              <w:tab/>
              <w:t>2</w:t>
            </w:r>
          </w:hyperlink>
        </w:p>
        <w:p>
          <w:pPr>
            <w:pStyle w:val="TOC2"/>
            <w:tabs>
              <w:tab w:val="clear" w:pos="720"/>
              <w:tab w:val="right" w:pos="9359" w:leader="dot"/>
            </w:tabs>
            <w:rPr/>
          </w:pPr>
          <w:hyperlink w:anchor="__RefHeading___Toc10270_627777545">
            <w:r>
              <w:rPr>
                <w:rStyle w:val="IndexLink"/>
              </w:rPr>
              <w:t>Approval and Sign-Off</w:t>
              <w:tab/>
              <w:t>2</w:t>
            </w:r>
          </w:hyperlink>
        </w:p>
        <w:p>
          <w:pPr>
            <w:pStyle w:val="TOC2"/>
            <w:tabs>
              <w:tab w:val="clear" w:pos="720"/>
              <w:tab w:val="right" w:pos="9359" w:leader="dot"/>
            </w:tabs>
            <w:rPr/>
          </w:pPr>
          <w:hyperlink w:anchor="__RefHeading___Toc10272_627777545">
            <w:r>
              <w:rPr>
                <w:rStyle w:val="IndexLink"/>
              </w:rPr>
              <w:t>Relationship to the Other Capstone Artifacts</w:t>
              <w:tab/>
              <w:t>3</w:t>
            </w:r>
          </w:hyperlink>
        </w:p>
        <w:p>
          <w:pPr>
            <w:pStyle w:val="TOC1"/>
            <w:tabs>
              <w:tab w:val="clear" w:pos="720"/>
              <w:tab w:val="right" w:pos="9359" w:leader="dot"/>
            </w:tabs>
            <w:rPr/>
          </w:pPr>
          <w:hyperlink w:anchor="__RefHeading___Toc10274_627777545">
            <w:r>
              <w:rPr>
                <w:rStyle w:val="IndexLink"/>
              </w:rPr>
              <w:t>1. Introduction</w:t>
              <w:tab/>
              <w:t>9</w:t>
            </w:r>
          </w:hyperlink>
        </w:p>
        <w:p>
          <w:pPr>
            <w:pStyle w:val="TOC2"/>
            <w:tabs>
              <w:tab w:val="clear" w:pos="720"/>
              <w:tab w:val="right" w:pos="9359" w:leader="dot"/>
            </w:tabs>
            <w:rPr/>
          </w:pPr>
          <w:hyperlink w:anchor="__RefHeading___Toc10276_627777545">
            <w:r>
              <w:rPr>
                <w:rStyle w:val="IndexLink"/>
              </w:rPr>
              <w:t>1.1 Purpose</w:t>
              <w:tab/>
              <w:t>9</w:t>
            </w:r>
          </w:hyperlink>
        </w:p>
        <w:p>
          <w:pPr>
            <w:pStyle w:val="TOC2"/>
            <w:tabs>
              <w:tab w:val="clear" w:pos="720"/>
              <w:tab w:val="right" w:pos="9359" w:leader="dot"/>
            </w:tabs>
            <w:rPr/>
          </w:pPr>
          <w:hyperlink w:anchor="__RefHeading___Toc10278_627777545">
            <w:r>
              <w:rPr>
                <w:rStyle w:val="IndexLink"/>
              </w:rPr>
              <w:t>1.2 Product Scope for This Increment</w:t>
              <w:tab/>
              <w:t>9</w:t>
            </w:r>
          </w:hyperlink>
        </w:p>
        <w:p>
          <w:pPr>
            <w:pStyle w:val="TOC2"/>
            <w:tabs>
              <w:tab w:val="clear" w:pos="720"/>
              <w:tab w:val="right" w:pos="9359" w:leader="dot"/>
            </w:tabs>
            <w:rPr/>
          </w:pPr>
          <w:hyperlink w:anchor="__RefHeading___Toc10280_627777545">
            <w:r>
              <w:rPr>
                <w:rStyle w:val="IndexLink"/>
              </w:rPr>
              <w:t>1.3 Out of Scope</w:t>
              <w:tab/>
              <w:t>10</w:t>
            </w:r>
          </w:hyperlink>
        </w:p>
        <w:p>
          <w:pPr>
            <w:pStyle w:val="TOC2"/>
            <w:tabs>
              <w:tab w:val="clear" w:pos="720"/>
              <w:tab w:val="right" w:pos="9359" w:leader="dot"/>
            </w:tabs>
            <w:rPr/>
          </w:pPr>
          <w:hyperlink w:anchor="__RefHeading___Toc10282_627777545">
            <w:r>
              <w:rPr>
                <w:rStyle w:val="IndexLink"/>
              </w:rPr>
              <w:t>1.4 Related Project Documents</w:t>
              <w:tab/>
              <w:t>10</w:t>
            </w:r>
          </w:hyperlink>
        </w:p>
        <w:p>
          <w:pPr>
            <w:pStyle w:val="TOC2"/>
            <w:tabs>
              <w:tab w:val="clear" w:pos="720"/>
              <w:tab w:val="right" w:pos="9359" w:leader="dot"/>
            </w:tabs>
            <w:rPr/>
          </w:pPr>
          <w:hyperlink w:anchor="__RefHeading___Toc10284_627777545">
            <w:r>
              <w:rPr>
                <w:rStyle w:val="IndexLink"/>
              </w:rPr>
              <w:t>1.5 Document Conventions</w:t>
              <w:tab/>
              <w:t>11</w:t>
            </w:r>
          </w:hyperlink>
        </w:p>
        <w:p>
          <w:pPr>
            <w:pStyle w:val="TOC2"/>
            <w:tabs>
              <w:tab w:val="clear" w:pos="720"/>
              <w:tab w:val="right" w:pos="9359" w:leader="dot"/>
            </w:tabs>
            <w:rPr/>
          </w:pPr>
          <w:hyperlink w:anchor="__RefHeading___Toc10286_627777545">
            <w:r>
              <w:rPr>
                <w:rStyle w:val="IndexLink"/>
              </w:rPr>
              <w:t>1.6 Definitions, Acronyms, and Abbreviations</w:t>
              <w:tab/>
              <w:t>12</w:t>
            </w:r>
          </w:hyperlink>
        </w:p>
        <w:p>
          <w:pPr>
            <w:pStyle w:val="TOC2"/>
            <w:tabs>
              <w:tab w:val="clear" w:pos="720"/>
              <w:tab w:val="right" w:pos="9359" w:leader="dot"/>
            </w:tabs>
            <w:rPr/>
          </w:pPr>
          <w:hyperlink w:anchor="__RefHeading___Toc10288_627777545">
            <w:r>
              <w:rPr>
                <w:rStyle w:val="IndexLink"/>
              </w:rPr>
              <w:t>1.7 Intended Audience and Reading Suggestions</w:t>
              <w:tab/>
              <w:t>12</w:t>
            </w:r>
          </w:hyperlink>
        </w:p>
        <w:p>
          <w:pPr>
            <w:pStyle w:val="TOC2"/>
            <w:tabs>
              <w:tab w:val="clear" w:pos="720"/>
              <w:tab w:val="right" w:pos="9359" w:leader="dot"/>
            </w:tabs>
            <w:rPr/>
          </w:pPr>
          <w:hyperlink w:anchor="__RefHeading___Toc10290_627777545">
            <w:r>
              <w:rPr>
                <w:rStyle w:val="IndexLink"/>
              </w:rPr>
              <w:t>1.8 References</w:t>
              <w:tab/>
              <w:t>13</w:t>
            </w:r>
          </w:hyperlink>
        </w:p>
        <w:p>
          <w:pPr>
            <w:pStyle w:val="TOC1"/>
            <w:tabs>
              <w:tab w:val="clear" w:pos="720"/>
              <w:tab w:val="right" w:pos="9359" w:leader="dot"/>
            </w:tabs>
            <w:rPr/>
          </w:pPr>
          <w:hyperlink w:anchor="__RefHeading___Toc10292_627777545">
            <w:r>
              <w:rPr>
                <w:rStyle w:val="IndexLink"/>
              </w:rPr>
              <w:t>2. Overall Description</w:t>
              <w:tab/>
              <w:t>14</w:t>
            </w:r>
          </w:hyperlink>
        </w:p>
        <w:p>
          <w:pPr>
            <w:pStyle w:val="TOC2"/>
            <w:tabs>
              <w:tab w:val="clear" w:pos="720"/>
              <w:tab w:val="right" w:pos="9359" w:leader="dot"/>
            </w:tabs>
            <w:rPr/>
          </w:pPr>
          <w:hyperlink w:anchor="__RefHeading___Toc10294_627777545">
            <w:r>
              <w:rPr>
                <w:rStyle w:val="IndexLink"/>
              </w:rPr>
              <w:t>2.1 Product Perspective</w:t>
              <w:tab/>
              <w:t>14</w:t>
            </w:r>
          </w:hyperlink>
        </w:p>
        <w:p>
          <w:pPr>
            <w:pStyle w:val="TOC2"/>
            <w:tabs>
              <w:tab w:val="clear" w:pos="720"/>
              <w:tab w:val="right" w:pos="9359" w:leader="dot"/>
            </w:tabs>
            <w:rPr/>
          </w:pPr>
          <w:hyperlink w:anchor="__RefHeading___Toc10296_627777545">
            <w:r>
              <w:rPr>
                <w:rStyle w:val="IndexLink"/>
              </w:rPr>
              <w:t>2.2 Inherited Baseline</w:t>
              <w:tab/>
              <w:t>14</w:t>
            </w:r>
          </w:hyperlink>
        </w:p>
        <w:p>
          <w:pPr>
            <w:pStyle w:val="TOC2"/>
            <w:tabs>
              <w:tab w:val="clear" w:pos="720"/>
              <w:tab w:val="right" w:pos="9359" w:leader="dot"/>
            </w:tabs>
            <w:rPr/>
          </w:pPr>
          <w:hyperlink w:anchor="__RefHeading___Toc10298_627777545">
            <w:r>
              <w:rPr>
                <w:rStyle w:val="IndexLink"/>
              </w:rPr>
              <w:t>2.3 Product Functions</w:t>
              <w:tab/>
              <w:t>15</w:t>
            </w:r>
          </w:hyperlink>
        </w:p>
        <w:p>
          <w:pPr>
            <w:pStyle w:val="TOC2"/>
            <w:tabs>
              <w:tab w:val="clear" w:pos="720"/>
              <w:tab w:val="right" w:pos="9359" w:leader="dot"/>
            </w:tabs>
            <w:rPr/>
          </w:pPr>
          <w:hyperlink w:anchor="__RefHeading___Toc10300_627777545">
            <w:r>
              <w:rPr>
                <w:rStyle w:val="IndexLink"/>
              </w:rPr>
              <w:t>2.4 User Classes and Characteristics</w:t>
              <w:tab/>
              <w:t>15</w:t>
            </w:r>
          </w:hyperlink>
        </w:p>
        <w:p>
          <w:pPr>
            <w:pStyle w:val="TOC2"/>
            <w:tabs>
              <w:tab w:val="clear" w:pos="720"/>
              <w:tab w:val="right" w:pos="9359" w:leader="dot"/>
            </w:tabs>
            <w:rPr/>
          </w:pPr>
          <w:hyperlink w:anchor="__RefHeading___Toc10302_627777545">
            <w:r>
              <w:rPr>
                <w:rStyle w:val="IndexLink"/>
              </w:rPr>
              <w:t>2.5 Operating Environment</w:t>
              <w:tab/>
              <w:t>16</w:t>
            </w:r>
          </w:hyperlink>
        </w:p>
        <w:p>
          <w:pPr>
            <w:pStyle w:val="TOC2"/>
            <w:tabs>
              <w:tab w:val="clear" w:pos="720"/>
              <w:tab w:val="right" w:pos="9359" w:leader="dot"/>
            </w:tabs>
            <w:rPr/>
          </w:pPr>
          <w:hyperlink w:anchor="__RefHeading___Toc10304_627777545">
            <w:r>
              <w:rPr>
                <w:rStyle w:val="IndexLink"/>
              </w:rPr>
              <w:t>2.6 Design and Implementation Constraints</w:t>
              <w:tab/>
              <w:t>17</w:t>
            </w:r>
          </w:hyperlink>
        </w:p>
        <w:p>
          <w:pPr>
            <w:pStyle w:val="TOC2"/>
            <w:tabs>
              <w:tab w:val="clear" w:pos="720"/>
              <w:tab w:val="right" w:pos="9359" w:leader="dot"/>
            </w:tabs>
            <w:rPr/>
          </w:pPr>
          <w:hyperlink w:anchor="__RefHeading___Toc10306_627777545">
            <w:r>
              <w:rPr>
                <w:rStyle w:val="IndexLink"/>
              </w:rPr>
              <w:t>2.7 Assumptions</w:t>
              <w:tab/>
              <w:t>17</w:t>
            </w:r>
          </w:hyperlink>
        </w:p>
        <w:p>
          <w:pPr>
            <w:pStyle w:val="TOC2"/>
            <w:tabs>
              <w:tab w:val="clear" w:pos="720"/>
              <w:tab w:val="right" w:pos="9359" w:leader="dot"/>
            </w:tabs>
            <w:rPr/>
          </w:pPr>
          <w:hyperlink w:anchor="__RefHeading___Toc10308_627777545">
            <w:r>
              <w:rPr>
                <w:rStyle w:val="IndexLink"/>
              </w:rPr>
              <w:t>2.8 Dependencies</w:t>
              <w:tab/>
              <w:t>18</w:t>
            </w:r>
          </w:hyperlink>
        </w:p>
        <w:p>
          <w:pPr>
            <w:pStyle w:val="TOC1"/>
            <w:tabs>
              <w:tab w:val="clear" w:pos="720"/>
              <w:tab w:val="right" w:pos="9359" w:leader="dot"/>
            </w:tabs>
            <w:rPr/>
          </w:pPr>
          <w:hyperlink w:anchor="__RefHeading___Toc10310_627777545">
            <w:r>
              <w:rPr>
                <w:rStyle w:val="IndexLink"/>
              </w:rPr>
              <w:t>3. Stakeholders and Requirements Elicitation</w:t>
              <w:tab/>
              <w:t>18</w:t>
            </w:r>
          </w:hyperlink>
        </w:p>
        <w:p>
          <w:pPr>
            <w:pStyle w:val="TOC2"/>
            <w:tabs>
              <w:tab w:val="clear" w:pos="720"/>
              <w:tab w:val="right" w:pos="9359" w:leader="dot"/>
            </w:tabs>
            <w:rPr/>
          </w:pPr>
          <w:hyperlink w:anchor="__RefHeading___Toc10312_627777545">
            <w:r>
              <w:rPr>
                <w:rStyle w:val="IndexLink"/>
              </w:rPr>
              <w:t>3.1 Stakeholder Register</w:t>
              <w:tab/>
              <w:t>19</w:t>
            </w:r>
          </w:hyperlink>
        </w:p>
        <w:p>
          <w:pPr>
            <w:pStyle w:val="TOC2"/>
            <w:tabs>
              <w:tab w:val="clear" w:pos="720"/>
              <w:tab w:val="right" w:pos="9359" w:leader="dot"/>
            </w:tabs>
            <w:rPr/>
          </w:pPr>
          <w:hyperlink w:anchor="__RefHeading___Toc10314_627777545">
            <w:r>
              <w:rPr>
                <w:rStyle w:val="IndexLink"/>
              </w:rPr>
              <w:t>3.2 Client Engagement Log</w:t>
              <w:tab/>
              <w:t>20</w:t>
            </w:r>
          </w:hyperlink>
        </w:p>
        <w:p>
          <w:pPr>
            <w:pStyle w:val="TOC2"/>
            <w:tabs>
              <w:tab w:val="clear" w:pos="720"/>
              <w:tab w:val="right" w:pos="9359" w:leader="dot"/>
            </w:tabs>
            <w:rPr/>
          </w:pPr>
          <w:hyperlink w:anchor="__RefHeading___Toc10316_627777545">
            <w:r>
              <w:rPr>
                <w:rStyle w:val="IndexLink"/>
              </w:rPr>
              <w:t>3.3 Requirement Source Register</w:t>
              <w:tab/>
              <w:t>20</w:t>
            </w:r>
          </w:hyperlink>
        </w:p>
        <w:p>
          <w:pPr>
            <w:pStyle w:val="TOC2"/>
            <w:tabs>
              <w:tab w:val="clear" w:pos="720"/>
              <w:tab w:val="right" w:pos="9359" w:leader="dot"/>
            </w:tabs>
            <w:rPr/>
          </w:pPr>
          <w:hyperlink w:anchor="__RefHeading___Toc10318_627777545">
            <w:r>
              <w:rPr>
                <w:rStyle w:val="IndexLink"/>
              </w:rPr>
              <w:t>3.4 Source Policy</w:t>
              <w:tab/>
              <w:t>21</w:t>
            </w:r>
          </w:hyperlink>
        </w:p>
        <w:p>
          <w:pPr>
            <w:pStyle w:val="TOC2"/>
            <w:tabs>
              <w:tab w:val="clear" w:pos="720"/>
              <w:tab w:val="right" w:pos="9359" w:leader="dot"/>
            </w:tabs>
            <w:rPr/>
          </w:pPr>
          <w:hyperlink w:anchor="__RefHeading___Toc10320_627777545">
            <w:r>
              <w:rPr>
                <w:rStyle w:val="IndexLink"/>
              </w:rPr>
              <w:t>3.5 Open Questions and Undecided Items</w:t>
              <w:tab/>
              <w:t>21</w:t>
            </w:r>
          </w:hyperlink>
        </w:p>
        <w:p>
          <w:pPr>
            <w:pStyle w:val="TOC1"/>
            <w:tabs>
              <w:tab w:val="clear" w:pos="720"/>
              <w:tab w:val="right" w:pos="9359" w:leader="dot"/>
            </w:tabs>
            <w:rPr/>
          </w:pPr>
          <w:hyperlink w:anchor="__RefHeading___Toc10322_627777545">
            <w:r>
              <w:rPr>
                <w:rStyle w:val="IndexLink"/>
              </w:rPr>
              <w:t>4. Requirements Management Approach</w:t>
              <w:tab/>
              <w:t>23</w:t>
            </w:r>
          </w:hyperlink>
        </w:p>
        <w:p>
          <w:pPr>
            <w:pStyle w:val="TOC2"/>
            <w:tabs>
              <w:tab w:val="clear" w:pos="720"/>
              <w:tab w:val="right" w:pos="9359" w:leader="dot"/>
            </w:tabs>
            <w:rPr/>
          </w:pPr>
          <w:hyperlink w:anchor="__RefHeading___Toc10324_627777545">
            <w:r>
              <w:rPr>
                <w:rStyle w:val="IndexLink"/>
              </w:rPr>
              <w:t>4.1 Requirement Attributes</w:t>
              <w:tab/>
              <w:t>23</w:t>
            </w:r>
          </w:hyperlink>
        </w:p>
        <w:p>
          <w:pPr>
            <w:pStyle w:val="TOC2"/>
            <w:tabs>
              <w:tab w:val="clear" w:pos="720"/>
              <w:tab w:val="right" w:pos="9359" w:leader="dot"/>
            </w:tabs>
            <w:rPr/>
          </w:pPr>
          <w:hyperlink w:anchor="__RefHeading___Toc10326_627777545">
            <w:r>
              <w:rPr>
                <w:rStyle w:val="IndexLink"/>
              </w:rPr>
              <w:t>4.2 Priority Definitions</w:t>
              <w:tab/>
              <w:t>23</w:t>
            </w:r>
          </w:hyperlink>
        </w:p>
        <w:p>
          <w:pPr>
            <w:pStyle w:val="TOC2"/>
            <w:tabs>
              <w:tab w:val="clear" w:pos="720"/>
              <w:tab w:val="right" w:pos="9359" w:leader="dot"/>
            </w:tabs>
            <w:rPr/>
          </w:pPr>
          <w:hyperlink w:anchor="__RefHeading___Toc10328_627777545">
            <w:r>
              <w:rPr>
                <w:rStyle w:val="IndexLink"/>
              </w:rPr>
              <w:t>4.3 Requirement Status Lifecycle</w:t>
              <w:tab/>
              <w:t>24</w:t>
            </w:r>
          </w:hyperlink>
        </w:p>
        <w:p>
          <w:pPr>
            <w:pStyle w:val="TOC2"/>
            <w:tabs>
              <w:tab w:val="clear" w:pos="720"/>
              <w:tab w:val="right" w:pos="9359" w:leader="dot"/>
            </w:tabs>
            <w:rPr/>
          </w:pPr>
          <w:hyperlink w:anchor="__RefHeading___Toc10330_627777545">
            <w:r>
              <w:rPr>
                <w:rStyle w:val="IndexLink"/>
              </w:rPr>
              <w:t>4.4 Requirements Change Control</w:t>
              <w:tab/>
              <w:t>24</w:t>
            </w:r>
          </w:hyperlink>
        </w:p>
        <w:p>
          <w:pPr>
            <w:pStyle w:val="TOC2"/>
            <w:tabs>
              <w:tab w:val="clear" w:pos="720"/>
              <w:tab w:val="right" w:pos="9359" w:leader="dot"/>
            </w:tabs>
            <w:rPr/>
          </w:pPr>
          <w:hyperlink w:anchor="__RefHeading___Toc10332_627777545">
            <w:r>
              <w:rPr>
                <w:rStyle w:val="IndexLink"/>
              </w:rPr>
              <w:t>4.5 Requirements Change Log for This Milestone</w:t>
              <w:tab/>
              <w:t>25</w:t>
            </w:r>
          </w:hyperlink>
        </w:p>
        <w:p>
          <w:pPr>
            <w:pStyle w:val="TOC2"/>
            <w:tabs>
              <w:tab w:val="clear" w:pos="720"/>
              <w:tab w:val="right" w:pos="9359" w:leader="dot"/>
            </w:tabs>
            <w:rPr/>
          </w:pPr>
          <w:hyperlink w:anchor="__RefHeading___Toc10334_627777545">
            <w:r>
              <w:rPr>
                <w:rStyle w:val="IndexLink"/>
              </w:rPr>
              <w:t>4.6 Baseline and Track Changes Procedure</w:t>
              <w:tab/>
              <w:t>25</w:t>
            </w:r>
          </w:hyperlink>
        </w:p>
        <w:p>
          <w:pPr>
            <w:pStyle w:val="TOC1"/>
            <w:tabs>
              <w:tab w:val="clear" w:pos="720"/>
              <w:tab w:val="right" w:pos="9359" w:leader="dot"/>
            </w:tabs>
            <w:rPr/>
          </w:pPr>
          <w:hyperlink w:anchor="__RefHeading___Toc10336_627777545">
            <w:r>
              <w:rPr>
                <w:rStyle w:val="IndexLink"/>
              </w:rPr>
              <w:t>5. Incremental Delivery Plan</w:t>
              <w:tab/>
              <w:t>25</w:t>
            </w:r>
          </w:hyperlink>
        </w:p>
        <w:p>
          <w:pPr>
            <w:pStyle w:val="TOC2"/>
            <w:tabs>
              <w:tab w:val="clear" w:pos="720"/>
              <w:tab w:val="right" w:pos="9359" w:leader="dot"/>
            </w:tabs>
            <w:rPr/>
          </w:pPr>
          <w:hyperlink w:anchor="__RefHeading___Toc10338_627777545">
            <w:r>
              <w:rPr>
                <w:rStyle w:val="IndexLink"/>
              </w:rPr>
              <w:t>5.1 Increment Acceptance</w:t>
              <w:tab/>
              <w:t>26</w:t>
            </w:r>
          </w:hyperlink>
        </w:p>
        <w:p>
          <w:pPr>
            <w:pStyle w:val="TOC2"/>
            <w:tabs>
              <w:tab w:val="clear" w:pos="720"/>
              <w:tab w:val="right" w:pos="9359" w:leader="dot"/>
            </w:tabs>
            <w:rPr/>
          </w:pPr>
          <w:hyperlink w:anchor="__RefHeading___Toc10340_627777545">
            <w:r>
              <w:rPr>
                <w:rStyle w:val="IndexLink"/>
              </w:rPr>
              <w:t>5.2 Deferred and Future Cohort Backlog</w:t>
              <w:tab/>
              <w:t>27</w:t>
            </w:r>
          </w:hyperlink>
        </w:p>
        <w:p>
          <w:pPr>
            <w:pStyle w:val="TOC1"/>
            <w:tabs>
              <w:tab w:val="clear" w:pos="720"/>
              <w:tab w:val="right" w:pos="9359" w:leader="dot"/>
            </w:tabs>
            <w:rPr/>
          </w:pPr>
          <w:hyperlink w:anchor="__RefHeading___Toc10342_627777545">
            <w:r>
              <w:rPr>
                <w:rStyle w:val="IndexLink"/>
              </w:rPr>
              <w:t>6. System Features and Functional Requirements</w:t>
              <w:tab/>
              <w:t>28</w:t>
            </w:r>
          </w:hyperlink>
        </w:p>
        <w:p>
          <w:pPr>
            <w:pStyle w:val="TOC2"/>
            <w:tabs>
              <w:tab w:val="clear" w:pos="720"/>
              <w:tab w:val="right" w:pos="9359" w:leader="dot"/>
            </w:tabs>
            <w:rPr/>
          </w:pPr>
          <w:hyperlink w:anchor="__RefHeading___Toc10344_627777545">
            <w:r>
              <w:rPr>
                <w:rStyle w:val="IndexLink"/>
              </w:rPr>
              <w:t>6.1 FEAT-01: Medicare Account Authentication</w:t>
              <w:tab/>
              <w:t>28</w:t>
            </w:r>
          </w:hyperlink>
        </w:p>
        <w:p>
          <w:pPr>
            <w:pStyle w:val="TOC3"/>
            <w:tabs>
              <w:tab w:val="clear" w:pos="720"/>
              <w:tab w:val="right" w:pos="9359" w:leader="dot"/>
            </w:tabs>
            <w:rPr/>
          </w:pPr>
          <w:hyperlink w:anchor="__RefHeading___Toc10346_627777545">
            <w:r>
              <w:rPr>
                <w:rStyle w:val="IndexLink"/>
              </w:rPr>
              <w:t>6.1.1 Description and Priority</w:t>
              <w:tab/>
              <w:t>28</w:t>
            </w:r>
          </w:hyperlink>
        </w:p>
        <w:p>
          <w:pPr>
            <w:pStyle w:val="TOC3"/>
            <w:tabs>
              <w:tab w:val="clear" w:pos="720"/>
              <w:tab w:val="right" w:pos="9359" w:leader="dot"/>
            </w:tabs>
            <w:rPr/>
          </w:pPr>
          <w:hyperlink w:anchor="__RefHeading___Toc10348_627777545">
            <w:r>
              <w:rPr>
                <w:rStyle w:val="IndexLink"/>
              </w:rPr>
              <w:t>6.1.2 Use Case</w:t>
              <w:tab/>
              <w:t>28</w:t>
            </w:r>
          </w:hyperlink>
        </w:p>
        <w:p>
          <w:pPr>
            <w:pStyle w:val="TOC3"/>
            <w:tabs>
              <w:tab w:val="clear" w:pos="720"/>
              <w:tab w:val="right" w:pos="9359" w:leader="dot"/>
            </w:tabs>
            <w:rPr/>
          </w:pPr>
          <w:hyperlink w:anchor="__RefHeading___Toc10350_627777545">
            <w:r>
              <w:rPr>
                <w:rStyle w:val="IndexLink"/>
              </w:rPr>
              <w:t>6.1.3 Stimulus and Response Sequences</w:t>
              <w:tab/>
              <w:t>30</w:t>
            </w:r>
          </w:hyperlink>
        </w:p>
        <w:p>
          <w:pPr>
            <w:pStyle w:val="TOC3"/>
            <w:tabs>
              <w:tab w:val="clear" w:pos="720"/>
              <w:tab w:val="right" w:pos="9359" w:leader="dot"/>
            </w:tabs>
            <w:rPr/>
          </w:pPr>
          <w:hyperlink w:anchor="__RefHeading___Toc10352_627777545">
            <w:r>
              <w:rPr>
                <w:rStyle w:val="IndexLink"/>
              </w:rPr>
              <w:t>6.1.4 Functional Requirements</w:t>
              <w:tab/>
              <w:t>31</w:t>
            </w:r>
          </w:hyperlink>
        </w:p>
        <w:p>
          <w:pPr>
            <w:pStyle w:val="TOC3"/>
            <w:tabs>
              <w:tab w:val="clear" w:pos="720"/>
              <w:tab w:val="right" w:pos="9359" w:leader="dot"/>
            </w:tabs>
            <w:rPr/>
          </w:pPr>
          <w:hyperlink w:anchor="__RefHeading___Toc10354_627777545">
            <w:r>
              <w:rPr>
                <w:rStyle w:val="IndexLink"/>
              </w:rPr>
              <w:t>6.1.5 Acceptance Criteria</w:t>
              <w:tab/>
              <w:t>32</w:t>
            </w:r>
          </w:hyperlink>
        </w:p>
        <w:p>
          <w:pPr>
            <w:pStyle w:val="TOC3"/>
            <w:tabs>
              <w:tab w:val="clear" w:pos="720"/>
              <w:tab w:val="right" w:pos="9359" w:leader="dot"/>
            </w:tabs>
            <w:rPr/>
          </w:pPr>
          <w:hyperlink w:anchor="__RefHeading___Toc10356_627777545">
            <w:r>
              <w:rPr>
                <w:rStyle w:val="IndexLink"/>
              </w:rPr>
              <w:t>6.1.6 Business Rules Applied</w:t>
              <w:tab/>
              <w:t>33</w:t>
            </w:r>
          </w:hyperlink>
        </w:p>
        <w:p>
          <w:pPr>
            <w:pStyle w:val="TOC3"/>
            <w:tabs>
              <w:tab w:val="clear" w:pos="720"/>
              <w:tab w:val="right" w:pos="9359" w:leader="dot"/>
            </w:tabs>
            <w:rPr/>
          </w:pPr>
          <w:hyperlink w:anchor="__RefHeading___Toc10358_627777545">
            <w:r>
              <w:rPr>
                <w:rStyle w:val="IndexLink"/>
              </w:rPr>
              <w:t>6.1.7 Error Conditions</w:t>
              <w:tab/>
              <w:t>33</w:t>
            </w:r>
          </w:hyperlink>
        </w:p>
        <w:p>
          <w:pPr>
            <w:pStyle w:val="TOC2"/>
            <w:tabs>
              <w:tab w:val="clear" w:pos="720"/>
              <w:tab w:val="right" w:pos="9359" w:leader="dot"/>
            </w:tabs>
            <w:rPr/>
          </w:pPr>
          <w:hyperlink w:anchor="__RefHeading___Toc10360_627777545">
            <w:r>
              <w:rPr>
                <w:rStyle w:val="IndexLink"/>
              </w:rPr>
              <w:t>6.2 FEAT-02: Medicare Data Retrieval and Storage</w:t>
              <w:tab/>
              <w:t>33</w:t>
            </w:r>
          </w:hyperlink>
        </w:p>
        <w:p>
          <w:pPr>
            <w:pStyle w:val="TOC3"/>
            <w:tabs>
              <w:tab w:val="clear" w:pos="720"/>
              <w:tab w:val="right" w:pos="9359" w:leader="dot"/>
            </w:tabs>
            <w:rPr/>
          </w:pPr>
          <w:hyperlink w:anchor="__RefHeading___Toc10362_627777545">
            <w:r>
              <w:rPr>
                <w:rStyle w:val="IndexLink"/>
              </w:rPr>
              <w:t>6.2.1 Description and Priority</w:t>
              <w:tab/>
              <w:t>33</w:t>
            </w:r>
          </w:hyperlink>
        </w:p>
        <w:p>
          <w:pPr>
            <w:pStyle w:val="TOC3"/>
            <w:tabs>
              <w:tab w:val="clear" w:pos="720"/>
              <w:tab w:val="right" w:pos="9359" w:leader="dot"/>
            </w:tabs>
            <w:rPr/>
          </w:pPr>
          <w:hyperlink w:anchor="__RefHeading___Toc10364_627777545">
            <w:r>
              <w:rPr>
                <w:rStyle w:val="IndexLink"/>
              </w:rPr>
              <w:t>6.2.2 Use Case</w:t>
              <w:tab/>
              <w:t>33</w:t>
            </w:r>
          </w:hyperlink>
        </w:p>
        <w:p>
          <w:pPr>
            <w:pStyle w:val="TOC3"/>
            <w:tabs>
              <w:tab w:val="clear" w:pos="720"/>
              <w:tab w:val="right" w:pos="9359" w:leader="dot"/>
            </w:tabs>
            <w:rPr/>
          </w:pPr>
          <w:hyperlink w:anchor="__RefHeading___Toc10366_627777545">
            <w:r>
              <w:rPr>
                <w:rStyle w:val="IndexLink"/>
              </w:rPr>
              <w:t>6.2.3 Stimulus and Response Sequences</w:t>
              <w:tab/>
              <w:t>34</w:t>
            </w:r>
          </w:hyperlink>
        </w:p>
        <w:p>
          <w:pPr>
            <w:pStyle w:val="TOC3"/>
            <w:tabs>
              <w:tab w:val="clear" w:pos="720"/>
              <w:tab w:val="right" w:pos="9359" w:leader="dot"/>
            </w:tabs>
            <w:rPr/>
          </w:pPr>
          <w:hyperlink w:anchor="__RefHeading___Toc10368_627777545">
            <w:r>
              <w:rPr>
                <w:rStyle w:val="IndexLink"/>
              </w:rPr>
              <w:t>6.2.4 Functional Requirements</w:t>
              <w:tab/>
              <w:t>35</w:t>
            </w:r>
          </w:hyperlink>
        </w:p>
        <w:p>
          <w:pPr>
            <w:pStyle w:val="TOC3"/>
            <w:tabs>
              <w:tab w:val="clear" w:pos="720"/>
              <w:tab w:val="right" w:pos="9359" w:leader="dot"/>
            </w:tabs>
            <w:rPr/>
          </w:pPr>
          <w:hyperlink w:anchor="__RefHeading___Toc10370_627777545">
            <w:r>
              <w:rPr>
                <w:rStyle w:val="IndexLink"/>
              </w:rPr>
              <w:t>6.2.5 Acceptance Criteria</w:t>
              <w:tab/>
              <w:t>36</w:t>
            </w:r>
          </w:hyperlink>
        </w:p>
        <w:p>
          <w:pPr>
            <w:pStyle w:val="TOC3"/>
            <w:tabs>
              <w:tab w:val="clear" w:pos="720"/>
              <w:tab w:val="right" w:pos="9359" w:leader="dot"/>
            </w:tabs>
            <w:rPr/>
          </w:pPr>
          <w:hyperlink w:anchor="__RefHeading___Toc10372_627777545">
            <w:r>
              <w:rPr>
                <w:rStyle w:val="IndexLink"/>
              </w:rPr>
              <w:t>6.2.6 Business Rules Applied</w:t>
              <w:tab/>
              <w:t>37</w:t>
            </w:r>
          </w:hyperlink>
        </w:p>
        <w:p>
          <w:pPr>
            <w:pStyle w:val="TOC3"/>
            <w:tabs>
              <w:tab w:val="clear" w:pos="720"/>
              <w:tab w:val="right" w:pos="9359" w:leader="dot"/>
            </w:tabs>
            <w:rPr/>
          </w:pPr>
          <w:hyperlink w:anchor="__RefHeading___Toc10374_627777545">
            <w:r>
              <w:rPr>
                <w:rStyle w:val="IndexLink"/>
              </w:rPr>
              <w:t>6.2.7 Error Conditions</w:t>
              <w:tab/>
              <w:t>37</w:t>
            </w:r>
          </w:hyperlink>
        </w:p>
        <w:p>
          <w:pPr>
            <w:pStyle w:val="TOC2"/>
            <w:tabs>
              <w:tab w:val="clear" w:pos="720"/>
              <w:tab w:val="right" w:pos="9359" w:leader="dot"/>
            </w:tabs>
            <w:rPr/>
          </w:pPr>
          <w:hyperlink w:anchor="__RefHeading___Toc10376_627777545">
            <w:r>
              <w:rPr>
                <w:rStyle w:val="IndexLink"/>
              </w:rPr>
              <w:t>6.3 FEAT-03: Cross-Source Data Comparison (Deferred to Milestone 2)</w:t>
              <w:tab/>
              <w:t>37</w:t>
            </w:r>
          </w:hyperlink>
        </w:p>
        <w:p>
          <w:pPr>
            <w:pStyle w:val="TOC3"/>
            <w:tabs>
              <w:tab w:val="clear" w:pos="720"/>
              <w:tab w:val="right" w:pos="9359" w:leader="dot"/>
            </w:tabs>
            <w:rPr/>
          </w:pPr>
          <w:hyperlink w:anchor="__RefHeading___Toc10378_627777545">
            <w:r>
              <w:rPr>
                <w:rStyle w:val="IndexLink"/>
              </w:rPr>
              <w:t>6.3.1 Description and Priority</w:t>
              <w:tab/>
              <w:t>37</w:t>
            </w:r>
          </w:hyperlink>
        </w:p>
        <w:p>
          <w:pPr>
            <w:pStyle w:val="TOC3"/>
            <w:tabs>
              <w:tab w:val="clear" w:pos="720"/>
              <w:tab w:val="right" w:pos="9359" w:leader="dot"/>
            </w:tabs>
            <w:rPr/>
          </w:pPr>
          <w:hyperlink w:anchor="__RefHeading___Toc10380_627777545">
            <w:r>
              <w:rPr>
                <w:rStyle w:val="IndexLink"/>
              </w:rPr>
              <w:t>6.3.2 Use Case</w:t>
              <w:tab/>
              <w:t>37</w:t>
            </w:r>
          </w:hyperlink>
        </w:p>
        <w:p>
          <w:pPr>
            <w:pStyle w:val="TOC3"/>
            <w:tabs>
              <w:tab w:val="clear" w:pos="720"/>
              <w:tab w:val="right" w:pos="9359" w:leader="dot"/>
            </w:tabs>
            <w:rPr/>
          </w:pPr>
          <w:hyperlink w:anchor="__RefHeading___Toc10382_627777545">
            <w:r>
              <w:rPr>
                <w:rStyle w:val="IndexLink"/>
              </w:rPr>
              <w:t>6.3.3 Stimulus and Response Sequences</w:t>
              <w:tab/>
              <w:t>38</w:t>
            </w:r>
          </w:hyperlink>
        </w:p>
        <w:p>
          <w:pPr>
            <w:pStyle w:val="TOC3"/>
            <w:tabs>
              <w:tab w:val="clear" w:pos="720"/>
              <w:tab w:val="right" w:pos="9359" w:leader="dot"/>
            </w:tabs>
            <w:rPr/>
          </w:pPr>
          <w:hyperlink w:anchor="__RefHeading___Toc10384_627777545">
            <w:r>
              <w:rPr>
                <w:rStyle w:val="IndexLink"/>
              </w:rPr>
              <w:t>6.3.4 Functional Requirements</w:t>
              <w:tab/>
              <w:t>39</w:t>
            </w:r>
          </w:hyperlink>
        </w:p>
        <w:p>
          <w:pPr>
            <w:pStyle w:val="TOC3"/>
            <w:tabs>
              <w:tab w:val="clear" w:pos="720"/>
              <w:tab w:val="right" w:pos="9359" w:leader="dot"/>
            </w:tabs>
            <w:rPr/>
          </w:pPr>
          <w:hyperlink w:anchor="__RefHeading___Toc10386_627777545">
            <w:r>
              <w:rPr>
                <w:rStyle w:val="IndexLink"/>
              </w:rPr>
              <w:t>6.3.5 Acceptance Criteria</w:t>
              <w:tab/>
              <w:t>39</w:t>
            </w:r>
          </w:hyperlink>
        </w:p>
        <w:p>
          <w:pPr>
            <w:pStyle w:val="TOC3"/>
            <w:tabs>
              <w:tab w:val="clear" w:pos="720"/>
              <w:tab w:val="right" w:pos="9359" w:leader="dot"/>
            </w:tabs>
            <w:rPr/>
          </w:pPr>
          <w:hyperlink w:anchor="__RefHeading___Toc10388_627777545">
            <w:r>
              <w:rPr>
                <w:rStyle w:val="IndexLink"/>
              </w:rPr>
              <w:t>6.3.6 Business Rules Applied</w:t>
              <w:tab/>
              <w:t>40</w:t>
            </w:r>
          </w:hyperlink>
        </w:p>
        <w:p>
          <w:pPr>
            <w:pStyle w:val="TOC3"/>
            <w:tabs>
              <w:tab w:val="clear" w:pos="720"/>
              <w:tab w:val="right" w:pos="9359" w:leader="dot"/>
            </w:tabs>
            <w:rPr/>
          </w:pPr>
          <w:hyperlink w:anchor="__RefHeading___Toc10390_627777545">
            <w:r>
              <w:rPr>
                <w:rStyle w:val="IndexLink"/>
              </w:rPr>
              <w:t>6.3.7 Error Conditions</w:t>
              <w:tab/>
              <w:t>40</w:t>
            </w:r>
          </w:hyperlink>
        </w:p>
        <w:p>
          <w:pPr>
            <w:pStyle w:val="TOC1"/>
            <w:tabs>
              <w:tab w:val="clear" w:pos="720"/>
              <w:tab w:val="right" w:pos="9359" w:leader="dot"/>
            </w:tabs>
            <w:rPr/>
          </w:pPr>
          <w:hyperlink w:anchor="__RefHeading___Toc10392_627777545">
            <w:r>
              <w:rPr>
                <w:rStyle w:val="IndexLink"/>
              </w:rPr>
              <w:t>7. Artificial Intelligence Requirements</w:t>
              <w:tab/>
              <w:t>41</w:t>
            </w:r>
          </w:hyperlink>
        </w:p>
        <w:p>
          <w:pPr>
            <w:pStyle w:val="TOC2"/>
            <w:tabs>
              <w:tab w:val="clear" w:pos="720"/>
              <w:tab w:val="right" w:pos="9359" w:leader="dot"/>
            </w:tabs>
            <w:rPr/>
          </w:pPr>
          <w:hyperlink w:anchor="__RefHeading___Toc10394_627777545">
            <w:r>
              <w:rPr>
                <w:rStyle w:val="IndexLink"/>
              </w:rPr>
              <w:t>7.1 AI Feature Inventory</w:t>
              <w:tab/>
              <w:t>41</w:t>
            </w:r>
          </w:hyperlink>
        </w:p>
        <w:p>
          <w:pPr>
            <w:pStyle w:val="TOC2"/>
            <w:tabs>
              <w:tab w:val="clear" w:pos="720"/>
              <w:tab w:val="right" w:pos="9359" w:leader="dot"/>
            </w:tabs>
            <w:rPr/>
          </w:pPr>
          <w:hyperlink w:anchor="__RefHeading___Toc10396_627777545">
            <w:r>
              <w:rPr>
                <w:rStyle w:val="IndexLink"/>
              </w:rPr>
              <w:t>7.2 Functional AI Requirements</w:t>
              <w:tab/>
              <w:t>41</w:t>
            </w:r>
          </w:hyperlink>
        </w:p>
        <w:p>
          <w:pPr>
            <w:pStyle w:val="TOC2"/>
            <w:tabs>
              <w:tab w:val="clear" w:pos="720"/>
              <w:tab w:val="right" w:pos="9359" w:leader="dot"/>
            </w:tabs>
            <w:rPr/>
          </w:pPr>
          <w:hyperlink w:anchor="__RefHeading___Toc10398_627777545">
            <w:r>
              <w:rPr>
                <w:rStyle w:val="IndexLink"/>
              </w:rPr>
              <w:t>7.3 Data Handling and Privacy</w:t>
              <w:tab/>
              <w:t>41</w:t>
            </w:r>
          </w:hyperlink>
        </w:p>
        <w:p>
          <w:pPr>
            <w:pStyle w:val="TOC2"/>
            <w:tabs>
              <w:tab w:val="clear" w:pos="720"/>
              <w:tab w:val="right" w:pos="9359" w:leader="dot"/>
            </w:tabs>
            <w:rPr/>
          </w:pPr>
          <w:hyperlink w:anchor="__RefHeading___Toc10400_627777545">
            <w:r>
              <w:rPr>
                <w:rStyle w:val="IndexLink"/>
              </w:rPr>
              <w:t>7.4 Human Oversight and Escalation</w:t>
              <w:tab/>
              <w:t>41</w:t>
            </w:r>
          </w:hyperlink>
        </w:p>
        <w:p>
          <w:pPr>
            <w:pStyle w:val="TOC2"/>
            <w:tabs>
              <w:tab w:val="clear" w:pos="720"/>
              <w:tab w:val="right" w:pos="9359" w:leader="dot"/>
            </w:tabs>
            <w:rPr/>
          </w:pPr>
          <w:hyperlink w:anchor="__RefHeading___Toc10402_627777545">
            <w:r>
              <w:rPr>
                <w:rStyle w:val="IndexLink"/>
              </w:rPr>
              <w:t>7.5 Non-Diagnostic Boundary</w:t>
              <w:tab/>
              <w:t>41</w:t>
            </w:r>
          </w:hyperlink>
        </w:p>
        <w:p>
          <w:pPr>
            <w:pStyle w:val="TOC2"/>
            <w:tabs>
              <w:tab w:val="clear" w:pos="720"/>
              <w:tab w:val="right" w:pos="9359" w:leader="dot"/>
            </w:tabs>
            <w:rPr/>
          </w:pPr>
          <w:hyperlink w:anchor="__RefHeading___Toc10404_627777545">
            <w:r>
              <w:rPr>
                <w:rStyle w:val="IndexLink"/>
              </w:rPr>
              <w:t>7.6 Non-Functional AI Requirements</w:t>
              <w:tab/>
              <w:t>41</w:t>
            </w:r>
          </w:hyperlink>
        </w:p>
        <w:p>
          <w:pPr>
            <w:pStyle w:val="TOC2"/>
            <w:tabs>
              <w:tab w:val="clear" w:pos="720"/>
              <w:tab w:val="right" w:pos="9359" w:leader="dot"/>
            </w:tabs>
            <w:rPr/>
          </w:pPr>
          <w:hyperlink w:anchor="__RefHeading___Toc10406_627777545">
            <w:r>
              <w:rPr>
                <w:rStyle w:val="IndexLink"/>
              </w:rPr>
              <w:t>7.7 AI Evaluation Plan Summary</w:t>
              <w:tab/>
              <w:t>41</w:t>
            </w:r>
          </w:hyperlink>
        </w:p>
        <w:p>
          <w:pPr>
            <w:pStyle w:val="TOC1"/>
            <w:tabs>
              <w:tab w:val="clear" w:pos="720"/>
              <w:tab w:val="right" w:pos="9359" w:leader="dot"/>
            </w:tabs>
            <w:rPr/>
          </w:pPr>
          <w:hyperlink w:anchor="__RefHeading___Toc10408_627777545">
            <w:r>
              <w:rPr>
                <w:rStyle w:val="IndexLink"/>
              </w:rPr>
              <w:t>8. External Interface Requirements</w:t>
              <w:tab/>
              <w:t>42</w:t>
            </w:r>
          </w:hyperlink>
        </w:p>
        <w:p>
          <w:pPr>
            <w:pStyle w:val="TOC2"/>
            <w:tabs>
              <w:tab w:val="clear" w:pos="720"/>
              <w:tab w:val="right" w:pos="9359" w:leader="dot"/>
            </w:tabs>
            <w:rPr/>
          </w:pPr>
          <w:hyperlink w:anchor="__RefHeading___Toc10410_627777545">
            <w:r>
              <w:rPr>
                <w:rStyle w:val="IndexLink"/>
              </w:rPr>
              <w:t>8.1 User Interfaces</w:t>
              <w:tab/>
              <w:t>42</w:t>
            </w:r>
          </w:hyperlink>
        </w:p>
        <w:p>
          <w:pPr>
            <w:pStyle w:val="TOC2"/>
            <w:tabs>
              <w:tab w:val="clear" w:pos="720"/>
              <w:tab w:val="right" w:pos="9359" w:leader="dot"/>
            </w:tabs>
            <w:rPr/>
          </w:pPr>
          <w:hyperlink w:anchor="__RefHeading___Toc10412_627777545">
            <w:r>
              <w:rPr>
                <w:rStyle w:val="IndexLink"/>
              </w:rPr>
              <w:t>8.2 Hardware Interfaces</w:t>
              <w:tab/>
              <w:t>42</w:t>
            </w:r>
          </w:hyperlink>
        </w:p>
        <w:p>
          <w:pPr>
            <w:pStyle w:val="TOC2"/>
            <w:tabs>
              <w:tab w:val="clear" w:pos="720"/>
              <w:tab w:val="right" w:pos="9359" w:leader="dot"/>
            </w:tabs>
            <w:rPr/>
          </w:pPr>
          <w:hyperlink w:anchor="__RefHeading___Toc10414_627777545">
            <w:r>
              <w:rPr>
                <w:rStyle w:val="IndexLink"/>
              </w:rPr>
              <w:t>8.3 Software Interfaces</w:t>
              <w:tab/>
              <w:t>43</w:t>
            </w:r>
          </w:hyperlink>
        </w:p>
        <w:p>
          <w:pPr>
            <w:pStyle w:val="TOC2"/>
            <w:tabs>
              <w:tab w:val="clear" w:pos="720"/>
              <w:tab w:val="right" w:pos="9359" w:leader="dot"/>
            </w:tabs>
            <w:rPr/>
          </w:pPr>
          <w:hyperlink w:anchor="__RefHeading___Toc10416_627777545">
            <w:r>
              <w:rPr>
                <w:rStyle w:val="IndexLink"/>
              </w:rPr>
              <w:t>8.4 Communications Interfaces</w:t>
              <w:tab/>
              <w:t>44</w:t>
            </w:r>
          </w:hyperlink>
        </w:p>
        <w:p>
          <w:pPr>
            <w:pStyle w:val="TOC2"/>
            <w:tabs>
              <w:tab w:val="clear" w:pos="720"/>
              <w:tab w:val="right" w:pos="9359" w:leader="dot"/>
            </w:tabs>
            <w:rPr/>
          </w:pPr>
          <w:hyperlink w:anchor="__RefHeading___Toc10418_627777545">
            <w:r>
              <w:rPr>
                <w:rStyle w:val="IndexLink"/>
              </w:rPr>
              <w:t>8.5 API Contract Summary</w:t>
              <w:tab/>
              <w:t>44</w:t>
            </w:r>
          </w:hyperlink>
        </w:p>
        <w:p>
          <w:pPr>
            <w:pStyle w:val="TOC2"/>
            <w:tabs>
              <w:tab w:val="clear" w:pos="720"/>
              <w:tab w:val="right" w:pos="9359" w:leader="dot"/>
            </w:tabs>
            <w:rPr/>
          </w:pPr>
          <w:hyperlink w:anchor="__RefHeading___Toc10420_627777545">
            <w:r>
              <w:rPr>
                <w:rStyle w:val="IndexLink"/>
              </w:rPr>
              <w:t>8.6 Error and Message Catalog</w:t>
              <w:tab/>
              <w:t>44</w:t>
            </w:r>
          </w:hyperlink>
        </w:p>
        <w:p>
          <w:pPr>
            <w:pStyle w:val="TOC1"/>
            <w:tabs>
              <w:tab w:val="clear" w:pos="720"/>
              <w:tab w:val="right" w:pos="9359" w:leader="dot"/>
            </w:tabs>
            <w:rPr/>
          </w:pPr>
          <w:hyperlink w:anchor="__RefHeading___Toc10422_627777545">
            <w:r>
              <w:rPr>
                <w:rStyle w:val="IndexLink"/>
              </w:rPr>
              <w:t>9. Data Requirements</w:t>
              <w:tab/>
              <w:t>45</w:t>
            </w:r>
          </w:hyperlink>
        </w:p>
        <w:p>
          <w:pPr>
            <w:pStyle w:val="TOC2"/>
            <w:tabs>
              <w:tab w:val="clear" w:pos="720"/>
              <w:tab w:val="right" w:pos="9359" w:leader="dot"/>
            </w:tabs>
            <w:rPr/>
          </w:pPr>
          <w:hyperlink w:anchor="__RefHeading___Toc10424_627777545">
            <w:r>
              <w:rPr>
                <w:rStyle w:val="IndexLink"/>
              </w:rPr>
              <w:t>9.1 Logical Data Model</w:t>
              <w:tab/>
              <w:t>45</w:t>
            </w:r>
          </w:hyperlink>
        </w:p>
        <w:p>
          <w:pPr>
            <w:pStyle w:val="TOC2"/>
            <w:tabs>
              <w:tab w:val="clear" w:pos="720"/>
              <w:tab w:val="right" w:pos="9359" w:leader="dot"/>
            </w:tabs>
            <w:rPr/>
          </w:pPr>
          <w:hyperlink w:anchor="__RefHeading___Toc10426_627777545">
            <w:r>
              <w:rPr>
                <w:rStyle w:val="IndexLink"/>
              </w:rPr>
              <w:t>9.2 Data Dictionary</w:t>
              <w:tab/>
              <w:t>45</w:t>
            </w:r>
          </w:hyperlink>
        </w:p>
        <w:p>
          <w:pPr>
            <w:pStyle w:val="TOC2"/>
            <w:tabs>
              <w:tab w:val="clear" w:pos="720"/>
              <w:tab w:val="right" w:pos="9359" w:leader="dot"/>
            </w:tabs>
            <w:rPr/>
          </w:pPr>
          <w:hyperlink w:anchor="__RefHeading___Toc10428_627777545">
            <w:r>
              <w:rPr>
                <w:rStyle w:val="IndexLink"/>
              </w:rPr>
              <w:t>9.3 Data Validation Rules</w:t>
              <w:tab/>
              <w:t>46</w:t>
            </w:r>
          </w:hyperlink>
        </w:p>
        <w:p>
          <w:pPr>
            <w:pStyle w:val="TOC2"/>
            <w:tabs>
              <w:tab w:val="clear" w:pos="720"/>
              <w:tab w:val="right" w:pos="9359" w:leader="dot"/>
            </w:tabs>
            <w:rPr/>
          </w:pPr>
          <w:hyperlink w:anchor="__RefHeading___Toc10430_627777545">
            <w:r>
              <w:rPr>
                <w:rStyle w:val="IndexLink"/>
              </w:rPr>
              <w:t>9.4 Data Retention, Archival, and Deletion</w:t>
              <w:tab/>
              <w:t>46</w:t>
            </w:r>
          </w:hyperlink>
        </w:p>
        <w:p>
          <w:pPr>
            <w:pStyle w:val="TOC2"/>
            <w:tabs>
              <w:tab w:val="clear" w:pos="720"/>
              <w:tab w:val="right" w:pos="9359" w:leader="dot"/>
            </w:tabs>
            <w:rPr/>
          </w:pPr>
          <w:hyperlink w:anchor="__RefHeading___Toc10432_627777545">
            <w:r>
              <w:rPr>
                <w:rStyle w:val="IndexLink"/>
              </w:rPr>
              <w:t>9.5 Test Data</w:t>
              <w:tab/>
              <w:t>47</w:t>
            </w:r>
          </w:hyperlink>
        </w:p>
        <w:p>
          <w:pPr>
            <w:pStyle w:val="TOC2"/>
            <w:tabs>
              <w:tab w:val="clear" w:pos="720"/>
              <w:tab w:val="right" w:pos="9359" w:leader="dot"/>
            </w:tabs>
            <w:rPr/>
          </w:pPr>
          <w:hyperlink w:anchor="__RefHeading___Toc10434_627777545">
            <w:r>
              <w:rPr>
                <w:rStyle w:val="IndexLink"/>
              </w:rPr>
              <w:t>9.6 Reporting and Analytics Data</w:t>
              <w:tab/>
              <w:t>47</w:t>
            </w:r>
          </w:hyperlink>
        </w:p>
        <w:p>
          <w:pPr>
            <w:pStyle w:val="TOC1"/>
            <w:tabs>
              <w:tab w:val="clear" w:pos="720"/>
              <w:tab w:val="right" w:pos="9359" w:leader="dot"/>
            </w:tabs>
            <w:rPr/>
          </w:pPr>
          <w:hyperlink w:anchor="__RefHeading___Toc10436_627777545">
            <w:r>
              <w:rPr>
                <w:rStyle w:val="IndexLink"/>
              </w:rPr>
              <w:t>10. Business Rules</w:t>
              <w:tab/>
              <w:t>48</w:t>
            </w:r>
          </w:hyperlink>
        </w:p>
        <w:p>
          <w:pPr>
            <w:pStyle w:val="TOC1"/>
            <w:tabs>
              <w:tab w:val="clear" w:pos="720"/>
              <w:tab w:val="right" w:pos="9359" w:leader="dot"/>
            </w:tabs>
            <w:rPr/>
          </w:pPr>
          <w:hyperlink w:anchor="__RefHeading___Toc10438_627777545">
            <w:r>
              <w:rPr>
                <w:rStyle w:val="IndexLink"/>
              </w:rPr>
              <w:t>11. Non-Functional Requirements</w:t>
              <w:tab/>
              <w:t>48</w:t>
            </w:r>
          </w:hyperlink>
        </w:p>
        <w:p>
          <w:pPr>
            <w:pStyle w:val="TOC2"/>
            <w:tabs>
              <w:tab w:val="clear" w:pos="720"/>
              <w:tab w:val="right" w:pos="9359" w:leader="dot"/>
            </w:tabs>
            <w:rPr/>
          </w:pPr>
          <w:hyperlink w:anchor="__RefHeading___Toc10440_627777545">
            <w:r>
              <w:rPr>
                <w:rStyle w:val="IndexLink"/>
              </w:rPr>
              <w:t>11.1 Performance</w:t>
              <w:tab/>
              <w:t>48</w:t>
            </w:r>
          </w:hyperlink>
        </w:p>
        <w:p>
          <w:pPr>
            <w:pStyle w:val="TOC2"/>
            <w:tabs>
              <w:tab w:val="clear" w:pos="720"/>
              <w:tab w:val="right" w:pos="9359" w:leader="dot"/>
            </w:tabs>
            <w:rPr/>
          </w:pPr>
          <w:hyperlink w:anchor="__RefHeading___Toc10442_627777545">
            <w:r>
              <w:rPr>
                <w:rStyle w:val="IndexLink"/>
              </w:rPr>
              <w:t>11.2 Capacity and Volumetrics</w:t>
              <w:tab/>
              <w:t>49</w:t>
            </w:r>
          </w:hyperlink>
        </w:p>
        <w:p>
          <w:pPr>
            <w:pStyle w:val="TOC2"/>
            <w:tabs>
              <w:tab w:val="clear" w:pos="720"/>
              <w:tab w:val="right" w:pos="9359" w:leader="dot"/>
            </w:tabs>
            <w:rPr/>
          </w:pPr>
          <w:hyperlink w:anchor="__RefHeading___Toc10444_627777545">
            <w:r>
              <w:rPr>
                <w:rStyle w:val="IndexLink"/>
              </w:rPr>
              <w:t>11.3 Scalability</w:t>
              <w:tab/>
              <w:t>49</w:t>
            </w:r>
          </w:hyperlink>
        </w:p>
        <w:p>
          <w:pPr>
            <w:pStyle w:val="TOC2"/>
            <w:tabs>
              <w:tab w:val="clear" w:pos="720"/>
              <w:tab w:val="right" w:pos="9359" w:leader="dot"/>
            </w:tabs>
            <w:rPr/>
          </w:pPr>
          <w:hyperlink w:anchor="__RefHeading___Toc10446_627777545">
            <w:r>
              <w:rPr>
                <w:rStyle w:val="IndexLink"/>
              </w:rPr>
              <w:t>11.4 Availability, Reliability, and Recovery</w:t>
              <w:tab/>
              <w:t>49</w:t>
            </w:r>
          </w:hyperlink>
        </w:p>
        <w:p>
          <w:pPr>
            <w:pStyle w:val="TOC2"/>
            <w:tabs>
              <w:tab w:val="clear" w:pos="720"/>
              <w:tab w:val="right" w:pos="9359" w:leader="dot"/>
            </w:tabs>
            <w:rPr/>
          </w:pPr>
          <w:hyperlink w:anchor="__RefHeading___Toc10448_627777545">
            <w:r>
              <w:rPr>
                <w:rStyle w:val="IndexLink"/>
              </w:rPr>
              <w:t>11.5 Security</w:t>
              <w:tab/>
              <w:t>50</w:t>
            </w:r>
          </w:hyperlink>
        </w:p>
        <w:p>
          <w:pPr>
            <w:pStyle w:val="TOC2"/>
            <w:tabs>
              <w:tab w:val="clear" w:pos="720"/>
              <w:tab w:val="right" w:pos="9359" w:leader="dot"/>
            </w:tabs>
            <w:rPr/>
          </w:pPr>
          <w:hyperlink w:anchor="__RefHeading___Toc10450_627777545">
            <w:r>
              <w:rPr>
                <w:rStyle w:val="IndexLink"/>
              </w:rPr>
              <w:t>11.6 Privacy and Regulatory Compliance</w:t>
              <w:tab/>
              <w:t>50</w:t>
            </w:r>
          </w:hyperlink>
        </w:p>
        <w:p>
          <w:pPr>
            <w:pStyle w:val="TOC2"/>
            <w:tabs>
              <w:tab w:val="clear" w:pos="720"/>
              <w:tab w:val="right" w:pos="9359" w:leader="dot"/>
            </w:tabs>
            <w:rPr/>
          </w:pPr>
          <w:hyperlink w:anchor="__RefHeading___Toc10452_627777545">
            <w:r>
              <w:rPr>
                <w:rStyle w:val="IndexLink"/>
              </w:rPr>
              <w:t>11.7 Accessibility</w:t>
              <w:tab/>
              <w:t>51</w:t>
            </w:r>
          </w:hyperlink>
        </w:p>
        <w:p>
          <w:pPr>
            <w:pStyle w:val="TOC2"/>
            <w:tabs>
              <w:tab w:val="clear" w:pos="720"/>
              <w:tab w:val="right" w:pos="9359" w:leader="dot"/>
            </w:tabs>
            <w:rPr/>
          </w:pPr>
          <w:hyperlink w:anchor="__RefHeading___Toc10454_627777545">
            <w:r>
              <w:rPr>
                <w:rStyle w:val="IndexLink"/>
              </w:rPr>
              <w:t>11.8 Usability</w:t>
              <w:tab/>
              <w:t>52</w:t>
            </w:r>
          </w:hyperlink>
        </w:p>
        <w:p>
          <w:pPr>
            <w:pStyle w:val="TOC2"/>
            <w:tabs>
              <w:tab w:val="clear" w:pos="720"/>
              <w:tab w:val="right" w:pos="9359" w:leader="dot"/>
            </w:tabs>
            <w:rPr/>
          </w:pPr>
          <w:hyperlink w:anchor="__RefHeading___Toc10456_627777545">
            <w:r>
              <w:rPr>
                <w:rStyle w:val="IndexLink"/>
              </w:rPr>
              <w:t>11.9 Maintainability</w:t>
              <w:tab/>
              <w:t>52</w:t>
            </w:r>
          </w:hyperlink>
        </w:p>
        <w:p>
          <w:pPr>
            <w:pStyle w:val="TOC2"/>
            <w:tabs>
              <w:tab w:val="clear" w:pos="720"/>
              <w:tab w:val="right" w:pos="9359" w:leader="dot"/>
            </w:tabs>
            <w:rPr/>
          </w:pPr>
          <w:hyperlink w:anchor="__RefHeading___Toc10458_627777545">
            <w:r>
              <w:rPr>
                <w:rStyle w:val="IndexLink"/>
              </w:rPr>
              <w:t>11.10 Observability</w:t>
              <w:tab/>
              <w:t>52</w:t>
            </w:r>
          </w:hyperlink>
        </w:p>
        <w:p>
          <w:pPr>
            <w:pStyle w:val="TOC2"/>
            <w:tabs>
              <w:tab w:val="clear" w:pos="720"/>
              <w:tab w:val="right" w:pos="9359" w:leader="dot"/>
            </w:tabs>
            <w:rPr/>
          </w:pPr>
          <w:hyperlink w:anchor="__RefHeading___Toc10460_627777545">
            <w:r>
              <w:rPr>
                <w:rStyle w:val="IndexLink"/>
              </w:rPr>
              <w:t>11.11 Portability and Deployment</w:t>
              <w:tab/>
              <w:t>53</w:t>
            </w:r>
          </w:hyperlink>
        </w:p>
        <w:p>
          <w:pPr>
            <w:pStyle w:val="TOC2"/>
            <w:tabs>
              <w:tab w:val="clear" w:pos="720"/>
              <w:tab w:val="right" w:pos="9359" w:leader="dot"/>
            </w:tabs>
            <w:rPr/>
          </w:pPr>
          <w:hyperlink w:anchor="__RefHeading___Toc10462_627777545">
            <w:r>
              <w:rPr>
                <w:rStyle w:val="IndexLink"/>
              </w:rPr>
              <w:t>11.12 Offline and Degraded Operation</w:t>
              <w:tab/>
              <w:t>53</w:t>
            </w:r>
          </w:hyperlink>
        </w:p>
        <w:p>
          <w:pPr>
            <w:pStyle w:val="TOC1"/>
            <w:tabs>
              <w:tab w:val="clear" w:pos="720"/>
              <w:tab w:val="right" w:pos="9359" w:leader="dot"/>
            </w:tabs>
            <w:rPr/>
          </w:pPr>
          <w:hyperlink w:anchor="__RefHeading___Toc10464_627777545">
            <w:r>
              <w:rPr>
                <w:rStyle w:val="IndexLink"/>
              </w:rPr>
              <w:t>12. Development and Environment Constraints</w:t>
              <w:tab/>
              <w:t>54</w:t>
            </w:r>
          </w:hyperlink>
        </w:p>
        <w:p>
          <w:pPr>
            <w:pStyle w:val="TOC2"/>
            <w:tabs>
              <w:tab w:val="clear" w:pos="720"/>
              <w:tab w:val="right" w:pos="9359" w:leader="dot"/>
            </w:tabs>
            <w:rPr/>
          </w:pPr>
          <w:hyperlink w:anchor="__RefHeading___Toc10466_627777545">
            <w:r>
              <w:rPr>
                <w:rStyle w:val="IndexLink"/>
              </w:rPr>
              <w:t>12.1 Source Control and Collaboration</w:t>
              <w:tab/>
              <w:t>54</w:t>
            </w:r>
          </w:hyperlink>
        </w:p>
        <w:p>
          <w:pPr>
            <w:pStyle w:val="TOC2"/>
            <w:tabs>
              <w:tab w:val="clear" w:pos="720"/>
              <w:tab w:val="right" w:pos="9359" w:leader="dot"/>
            </w:tabs>
            <w:rPr/>
          </w:pPr>
          <w:hyperlink w:anchor="__RefHeading___Toc10468_627777545">
            <w:r>
              <w:rPr>
                <w:rStyle w:val="IndexLink"/>
              </w:rPr>
              <w:t>12.2 Environment and Deployment Assumptions</w:t>
              <w:tab/>
              <w:t>54</w:t>
            </w:r>
          </w:hyperlink>
        </w:p>
        <w:p>
          <w:pPr>
            <w:pStyle w:val="TOC2"/>
            <w:tabs>
              <w:tab w:val="clear" w:pos="720"/>
              <w:tab w:val="right" w:pos="9359" w:leader="dot"/>
            </w:tabs>
            <w:rPr/>
          </w:pPr>
          <w:hyperlink w:anchor="__RefHeading___Toc10470_627777545">
            <w:r>
              <w:rPr>
                <w:rStyle w:val="IndexLink"/>
              </w:rPr>
              <w:t>12.3 Cloud Platform Assumptions</w:t>
              <w:tab/>
              <w:t>54</w:t>
            </w:r>
          </w:hyperlink>
        </w:p>
        <w:p>
          <w:pPr>
            <w:pStyle w:val="TOC1"/>
            <w:tabs>
              <w:tab w:val="clear" w:pos="720"/>
              <w:tab w:val="right" w:pos="9359" w:leader="dot"/>
            </w:tabs>
            <w:rPr/>
          </w:pPr>
          <w:hyperlink w:anchor="__RefHeading___Toc10472_627777545">
            <w:r>
              <w:rPr>
                <w:rStyle w:val="IndexLink"/>
              </w:rPr>
              <w:t>13. Requirement Risks and Degraded Modes</w:t>
              <w:tab/>
              <w:t>55</w:t>
            </w:r>
          </w:hyperlink>
        </w:p>
        <w:p>
          <w:pPr>
            <w:pStyle w:val="TOC1"/>
            <w:tabs>
              <w:tab w:val="clear" w:pos="720"/>
              <w:tab w:val="right" w:pos="9359" w:leader="dot"/>
            </w:tabs>
            <w:rPr/>
          </w:pPr>
          <w:hyperlink w:anchor="__RefHeading___Toc10474_627777545">
            <w:r>
              <w:rPr>
                <w:rStyle w:val="IndexLink"/>
              </w:rPr>
              <w:t>14. Verification and Acceptance</w:t>
              <w:tab/>
              <w:t>55</w:t>
            </w:r>
          </w:hyperlink>
        </w:p>
        <w:p>
          <w:pPr>
            <w:pStyle w:val="TOC2"/>
            <w:tabs>
              <w:tab w:val="clear" w:pos="720"/>
              <w:tab w:val="right" w:pos="9359" w:leader="dot"/>
            </w:tabs>
            <w:rPr/>
          </w:pPr>
          <w:hyperlink w:anchor="__RefHeading___Toc10476_627777545">
            <w:r>
              <w:rPr>
                <w:rStyle w:val="IndexLink"/>
              </w:rPr>
              <w:t>14.1 Verification Methods</w:t>
              <w:tab/>
              <w:t>55</w:t>
            </w:r>
          </w:hyperlink>
        </w:p>
        <w:p>
          <w:pPr>
            <w:pStyle w:val="TOC2"/>
            <w:tabs>
              <w:tab w:val="clear" w:pos="720"/>
              <w:tab w:val="right" w:pos="9359" w:leader="dot"/>
            </w:tabs>
            <w:rPr/>
          </w:pPr>
          <w:hyperlink w:anchor="__RefHeading___Toc10478_627777545">
            <w:r>
              <w:rPr>
                <w:rStyle w:val="IndexLink"/>
              </w:rPr>
              <w:t>14.2 The Rule of Verifiability</w:t>
              <w:tab/>
              <w:t>56</w:t>
            </w:r>
          </w:hyperlink>
        </w:p>
        <w:p>
          <w:pPr>
            <w:pStyle w:val="TOC2"/>
            <w:tabs>
              <w:tab w:val="clear" w:pos="720"/>
              <w:tab w:val="right" w:pos="9359" w:leader="dot"/>
            </w:tabs>
            <w:rPr/>
          </w:pPr>
          <w:hyperlink w:anchor="__RefHeading___Toc10480_627777545">
            <w:r>
              <w:rPr>
                <w:rStyle w:val="IndexLink"/>
              </w:rPr>
              <w:t>14.3 SMART Acceptance Criteria</w:t>
              <w:tab/>
              <w:t>56</w:t>
            </w:r>
          </w:hyperlink>
        </w:p>
        <w:p>
          <w:pPr>
            <w:pStyle w:val="TOC2"/>
            <w:tabs>
              <w:tab w:val="clear" w:pos="720"/>
              <w:tab w:val="right" w:pos="9359" w:leader="dot"/>
            </w:tabs>
            <w:rPr/>
          </w:pPr>
          <w:hyperlink w:anchor="__RefHeading___Toc10482_627777545">
            <w:r>
              <w:rPr>
                <w:rStyle w:val="IndexLink"/>
              </w:rPr>
              <w:t>14.4 Acceptance Criteria Convention</w:t>
              <w:tab/>
              <w:t>58</w:t>
            </w:r>
          </w:hyperlink>
        </w:p>
        <w:p>
          <w:pPr>
            <w:pStyle w:val="TOC2"/>
            <w:tabs>
              <w:tab w:val="clear" w:pos="720"/>
              <w:tab w:val="right" w:pos="9359" w:leader="dot"/>
            </w:tabs>
            <w:rPr/>
          </w:pPr>
          <w:hyperlink w:anchor="__RefHeading___Toc10484_627777545">
            <w:r>
              <w:rPr>
                <w:rStyle w:val="IndexLink"/>
              </w:rPr>
              <w:t>14.5 Definition of Verified</w:t>
              <w:tab/>
              <w:t>58</w:t>
            </w:r>
          </w:hyperlink>
        </w:p>
        <w:p>
          <w:pPr>
            <w:pStyle w:val="TOC2"/>
            <w:tabs>
              <w:tab w:val="clear" w:pos="720"/>
              <w:tab w:val="right" w:pos="9359" w:leader="dot"/>
            </w:tabs>
            <w:rPr/>
          </w:pPr>
          <w:hyperlink w:anchor="__RefHeading___Toc10486_627777545">
            <w:r>
              <w:rPr>
                <w:rStyle w:val="IndexLink"/>
              </w:rPr>
              <w:t>14.6 Client Acceptance</w:t>
              <w:tab/>
              <w:t>58</w:t>
            </w:r>
          </w:hyperlink>
        </w:p>
        <w:p>
          <w:pPr>
            <w:pStyle w:val="TOC1"/>
            <w:tabs>
              <w:tab w:val="clear" w:pos="720"/>
              <w:tab w:val="right" w:pos="9359" w:leader="dot"/>
            </w:tabs>
            <w:rPr/>
          </w:pPr>
          <w:hyperlink w:anchor="__RefHeading___Toc10488_627777545">
            <w:r>
              <w:rPr>
                <w:rStyle w:val="IndexLink"/>
              </w:rPr>
              <w:t>15. Requirements Traceability</w:t>
              <w:tab/>
              <w:t>58</w:t>
            </w:r>
          </w:hyperlink>
        </w:p>
        <w:p>
          <w:pPr>
            <w:pStyle w:val="TOC2"/>
            <w:tabs>
              <w:tab w:val="clear" w:pos="720"/>
              <w:tab w:val="right" w:pos="9359" w:leader="dot"/>
            </w:tabs>
            <w:rPr/>
          </w:pPr>
          <w:hyperlink w:anchor="__RefHeading___Toc10490_627777545">
            <w:r>
              <w:rPr>
                <w:rStyle w:val="IndexLink"/>
              </w:rPr>
              <w:t>15.1 Traceability Matrix</w:t>
              <w:tab/>
              <w:t>58</w:t>
            </w:r>
          </w:hyperlink>
        </w:p>
        <w:p>
          <w:pPr>
            <w:pStyle w:val="TOC2"/>
            <w:tabs>
              <w:tab w:val="clear" w:pos="720"/>
              <w:tab w:val="right" w:pos="9359" w:leader="dot"/>
            </w:tabs>
            <w:rPr/>
          </w:pPr>
          <w:hyperlink w:anchor="__RefHeading___Toc10492_627777545">
            <w:r>
              <w:rPr>
                <w:rStyle w:val="IndexLink"/>
              </w:rPr>
              <w:t>15.2 Coverage Summary</w:t>
              <w:tab/>
              <w:t>61</w:t>
            </w:r>
          </w:hyperlink>
        </w:p>
        <w:p>
          <w:pPr>
            <w:pStyle w:val="TOC2"/>
            <w:tabs>
              <w:tab w:val="clear" w:pos="720"/>
              <w:tab w:val="right" w:pos="9359" w:leader="dot"/>
            </w:tabs>
            <w:rPr/>
          </w:pPr>
          <w:hyperlink w:anchor="__RefHeading___Toc10494_627777545">
            <w:r>
              <w:rPr>
                <w:rStyle w:val="IndexLink"/>
              </w:rPr>
              <w:t>15.3 Requirements Without Coverage</w:t>
              <w:tab/>
              <w:t>62</w:t>
            </w:r>
          </w:hyperlink>
        </w:p>
        <w:p>
          <w:pPr>
            <w:pStyle w:val="TOC1"/>
            <w:tabs>
              <w:tab w:val="clear" w:pos="720"/>
              <w:tab w:val="right" w:pos="9359" w:leader="dot"/>
            </w:tabs>
            <w:rPr/>
          </w:pPr>
          <w:hyperlink w:anchor="__RefHeading___Toc10496_627777545">
            <w:r>
              <w:rPr>
                <w:rStyle w:val="IndexLink"/>
              </w:rPr>
              <w:t>16. Tool and AI Usage Disclosure</w:t>
              <w:tab/>
              <w:t>62</w:t>
            </w:r>
          </w:hyperlink>
        </w:p>
        <w:p>
          <w:pPr>
            <w:pStyle w:val="TOC1"/>
            <w:tabs>
              <w:tab w:val="clear" w:pos="720"/>
              <w:tab w:val="right" w:pos="9359" w:leader="dot"/>
            </w:tabs>
            <w:rPr/>
          </w:pPr>
          <w:hyperlink w:anchor="__RefHeading___Toc10498_627777545">
            <w:r>
              <w:rPr>
                <w:rStyle w:val="IndexLink"/>
              </w:rPr>
              <w:t>17. Milestone Sign-Off</w:t>
              <w:tab/>
              <w:t>62</w:t>
            </w:r>
          </w:hyperlink>
        </w:p>
        <w:p>
          <w:pPr>
            <w:pStyle w:val="TOC1"/>
            <w:tabs>
              <w:tab w:val="clear" w:pos="720"/>
              <w:tab w:val="right" w:pos="9359" w:leader="dot"/>
            </w:tabs>
            <w:rPr/>
          </w:pPr>
          <w:hyperlink w:anchor="__RefHeading___Toc10500_627777545">
            <w:r>
              <w:rPr>
                <w:rStyle w:val="IndexLink"/>
              </w:rPr>
              <w:t>Appendix A. Glossary</w:t>
              <w:tab/>
              <w:t>65</w:t>
            </w:r>
          </w:hyperlink>
        </w:p>
        <w:p>
          <w:pPr>
            <w:pStyle w:val="TOC1"/>
            <w:tabs>
              <w:tab w:val="clear" w:pos="720"/>
              <w:tab w:val="right" w:pos="9359" w:leader="dot"/>
            </w:tabs>
            <w:rPr/>
          </w:pPr>
          <w:hyperlink w:anchor="__RefHeading___Toc10502_627777545">
            <w:r>
              <w:rPr>
                <w:rStyle w:val="IndexLink"/>
              </w:rPr>
              <w:t>Appendix B. Acronyms and Abbreviations</w:t>
              <w:tab/>
              <w:t>65</w:t>
            </w:r>
          </w:hyperlink>
        </w:p>
        <w:p>
          <w:pPr>
            <w:pStyle w:val="TOC1"/>
            <w:tabs>
              <w:tab w:val="clear" w:pos="720"/>
              <w:tab w:val="right" w:pos="9359" w:leader="dot"/>
            </w:tabs>
            <w:rPr/>
          </w:pPr>
          <w:hyperlink w:anchor="__RefHeading___Toc10504_627777545">
            <w:r>
              <w:rPr>
                <w:rStyle w:val="IndexLink"/>
              </w:rPr>
              <w:t>Appendix C. Requirement Entry Form</w:t>
              <w:tab/>
              <w:t>66</w:t>
            </w:r>
          </w:hyperlink>
        </w:p>
        <w:p>
          <w:pPr>
            <w:pStyle w:val="TOC1"/>
            <w:tabs>
              <w:tab w:val="clear" w:pos="720"/>
              <w:tab w:val="right" w:pos="9359" w:leader="dot"/>
            </w:tabs>
            <w:rPr/>
          </w:pPr>
          <w:hyperlink w:anchor="__RefHeading___Toc10506_627777545">
            <w:r>
              <w:rPr>
                <w:rStyle w:val="IndexLink"/>
              </w:rPr>
              <w:t>Appendix D. Use Case Template</w:t>
              <w:tab/>
              <w:t>66</w:t>
            </w:r>
          </w:hyperlink>
        </w:p>
        <w:p>
          <w:pPr>
            <w:pStyle w:val="TOC1"/>
            <w:tabs>
              <w:tab w:val="clear" w:pos="720"/>
              <w:tab w:val="right" w:pos="9359" w:leader="dot"/>
            </w:tabs>
            <w:rPr/>
          </w:pPr>
          <w:hyperlink w:anchor="__RefHeading___Toc10508_627777545">
            <w:r>
              <w:rPr>
                <w:rStyle w:val="IndexLink"/>
              </w:rPr>
              <w:t>Appendix E. Full Requirements Traceability Matrix</w:t>
              <w:tab/>
              <w:t>66</w:t>
            </w:r>
          </w:hyperlink>
        </w:p>
        <w:p>
          <w:pPr>
            <w:pStyle w:val="TOC1"/>
            <w:tabs>
              <w:tab w:val="clear" w:pos="720"/>
              <w:tab w:val="right" w:pos="9359" w:leader="dot"/>
            </w:tabs>
            <w:rPr/>
          </w:pPr>
          <w:hyperlink w:anchor="__RefHeading___Toc10510_627777545">
            <w:r>
              <w:rPr>
                <w:rStyle w:val="IndexLink"/>
              </w:rPr>
              <w:t>Appendix F. Full Requirements Change Log</w:t>
              <w:tab/>
              <w:t>67</w:t>
            </w:r>
          </w:hyperlink>
        </w:p>
        <w:p>
          <w:pPr>
            <w:pStyle w:val="TOC1"/>
            <w:tabs>
              <w:tab w:val="clear" w:pos="720"/>
              <w:tab w:val="right" w:pos="9359" w:leader="dot"/>
            </w:tabs>
            <w:rPr/>
          </w:pPr>
          <w:hyperlink w:anchor="__RefHeading___Toc10512_627777545">
            <w:r>
              <w:rPr>
                <w:rStyle w:val="IndexLink"/>
              </w:rPr>
              <w:t>Appendix G. References</w:t>
              <w:tab/>
              <w:t>67</w:t>
            </w:r>
          </w:hyperlink>
          <w:r>
            <w:rPr>
              <w:rStyle w:val="IndexLink"/>
            </w:rPr>
            <w:fldChar w:fldCharType="end"/>
          </w:r>
        </w:p>
      </w:sdtContent>
    </w:sdt>
    <w:p>
      <w:pPr>
        <w:pStyle w:val="Normal"/>
        <w:widowControl/>
        <w:bidi w:val="0"/>
        <w:spacing w:lineRule="auto" w:line="276" w:before="0" w:after="130"/>
        <w:jc w:val="left"/>
        <w:rPr/>
      </w:pPr>
      <w:r>
        <w:rPr/>
      </w:r>
    </w:p>
    <w:p>
      <w:pPr>
        <w:pStyle w:val="Normal"/>
        <w:spacing w:before="280" w:after="100"/>
        <w:rPr/>
      </w:pPr>
      <w:r>
        <w:rPr>
          <w:b/>
          <w:bCs/>
          <w:sz w:val="26"/>
          <w:szCs w:val="26"/>
        </w:rPr>
        <w:t>List of Tables</w:t>
      </w:r>
    </w:p>
    <w:p>
      <w:pPr>
        <w:pStyle w:val="Normal"/>
        <w:rPr/>
      </w:pPr>
      <w:r>
        <w:rPr>
          <w:i/>
          <w:iCs/>
        </w:rPr>
        <w:t>[Insert using References &gt; Insert Table of Figures &gt; Caption label: Table.]</w:t>
      </w:r>
    </w:p>
    <w:p>
      <w:pPr>
        <w:pStyle w:val="Normal"/>
        <w:spacing w:before="200" w:after="100"/>
        <w:rPr/>
      </w:pPr>
      <w:r>
        <w:rPr>
          <w:b/>
          <w:bCs/>
          <w:sz w:val="26"/>
          <w:szCs w:val="26"/>
        </w:rPr>
        <w:t>List of Figures</w:t>
      </w:r>
    </w:p>
    <w:p>
      <w:pPr>
        <w:pStyle w:val="Normal"/>
        <w:rPr/>
      </w:pPr>
      <w:r>
        <w:rPr>
          <w:i/>
          <w:iCs/>
        </w:rPr>
        <w:t>[Insert using References &gt; Insert Table of Figures &gt; Caption label: Figure.]</w:t>
      </w:r>
    </w:p>
    <w:p>
      <w:pPr>
        <w:pStyle w:val="Normal"/>
        <w:rPr/>
      </w:pPr>
      <w:r>
        <w:rPr/>
      </w:r>
      <w:r>
        <w:br w:type="page"/>
      </w:r>
    </w:p>
    <w:p>
      <w:pPr>
        <w:pStyle w:val="Heading1"/>
        <w:spacing w:before="0" w:after="150"/>
        <w:rPr/>
      </w:pPr>
      <w:bookmarkStart w:id="10" w:name="__RefHeading___Toc10274_627777545"/>
      <w:bookmarkStart w:id="11" w:name="_Toc236656511"/>
      <w:bookmarkEnd w:id="10"/>
      <w:r>
        <w:rPr/>
        <w:t>1. Introduction</w:t>
      </w:r>
      <w:bookmarkEnd w:id="11"/>
    </w:p>
    <w:p>
      <w:pPr>
        <w:pStyle w:val="Heading2"/>
        <w:rPr/>
      </w:pPr>
      <w:bookmarkStart w:id="12" w:name="__RefHeading___Toc10276_627777545"/>
      <w:bookmarkStart w:id="13" w:name="_Toc236656512"/>
      <w:bookmarkEnd w:id="12"/>
      <w:r>
        <w:rPr/>
        <w:t>1.1 Purpose</w:t>
      </w:r>
      <w:bookmarkEnd w:id="13"/>
    </w:p>
    <w:p>
      <w:pPr>
        <w:pStyle w:val="Normal"/>
        <w:rPr/>
      </w:pPr>
      <w:r>
        <w:rPr/>
        <w:t xml:space="preserve">This Software Requirements Specification (SRS) document specifies the Medicare integration capability that Team Echo is adding to CareConnect. Medicare integration with the application includes the implementation of Medicare APIs to CareConnect's backend and the development of the frontend for the Medicare implementation. Team Echo is also responsible for fixing known issues outlined in the Handoff document (Range of issues here). This version covers the scope within Milestone 1. As of the current draft, Team Echo has had one client meeting to discuss the requirements for the project.  The intended readers are the clients, Team Echo’s development team, and future CareConnect developers. </w:t>
      </w:r>
    </w:p>
    <w:p>
      <w:pPr>
        <w:pStyle w:val="Heading2"/>
        <w:rPr/>
      </w:pPr>
      <w:bookmarkStart w:id="14" w:name="__RefHeading___Toc10278_627777545"/>
      <w:bookmarkStart w:id="15" w:name="_Toc236656513"/>
      <w:bookmarkEnd w:id="14"/>
      <w:r>
        <w:rPr/>
        <w:t>1.2 Product Scope for This Increment</w:t>
      </w:r>
      <w:bookmarkEnd w:id="15"/>
    </w:p>
    <w:p>
      <w:pPr>
        <w:pStyle w:val="Normal"/>
        <w:spacing w:before="150" w:after="40"/>
        <w:rPr/>
      </w:pPr>
      <w:r>
        <w:rPr>
          <w:b/>
          <w:bCs/>
        </w:rPr>
        <w:t>Table 5</w:t>
      </w:r>
    </w:p>
    <w:p>
      <w:pPr>
        <w:pStyle w:val="Normal"/>
        <w:spacing w:before="0" w:after="80"/>
        <w:rPr/>
      </w:pPr>
      <w:r>
        <w:rPr>
          <w:i/>
          <w:iCs/>
        </w:rPr>
        <w:t>Scope of This SRS Version</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3398"/>
        <w:gridCol w:w="3402"/>
        <w:gridCol w:w="2560"/>
      </w:tblGrid>
      <w:tr>
        <w:trPr>
          <w:tblHeader w:val="true"/>
          <w:cantSplit w:val="true"/>
        </w:trPr>
        <w:tc>
          <w:tcPr>
            <w:tcW w:w="339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Category</w:t>
            </w:r>
          </w:p>
        </w:tc>
        <w:tc>
          <w:tcPr>
            <w:tcW w:w="340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Features</w:t>
            </w:r>
          </w:p>
        </w:tc>
        <w:tc>
          <w:tcPr>
            <w:tcW w:w="256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Requirement ID Range</w:t>
            </w:r>
          </w:p>
        </w:tc>
      </w:tr>
      <w:tr>
        <w:trPr>
          <w:cantSplit w:val="true"/>
        </w:trPr>
        <w:tc>
          <w:tcPr>
            <w:tcW w:w="3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Completed and verified this milestone</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None. No Medicare feature has working, verified code as of this draft (see flag note below).</w:t>
            </w:r>
          </w:p>
        </w:tc>
        <w:tc>
          <w:tcPr>
            <w:tcW w:w="2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N/A</w:t>
            </w:r>
          </w:p>
        </w:tc>
      </w:tr>
      <w:tr>
        <w:trPr>
          <w:trHeight w:val="300" w:hRule="atLeast"/>
          <w:cantSplit w:val="true"/>
        </w:trPr>
        <w:tc>
          <w:tcPr>
            <w:tcW w:w="3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sz w:val="18"/>
                <w:szCs w:val="18"/>
              </w:rPr>
            </w:pPr>
            <w:r>
              <w:rPr>
                <w:sz w:val="18"/>
                <w:szCs w:val="18"/>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sz w:val="18"/>
                <w:szCs w:val="18"/>
              </w:rPr>
            </w:pPr>
            <w:r>
              <w:rPr>
                <w:sz w:val="18"/>
                <w:szCs w:val="18"/>
              </w:rPr>
            </w:r>
          </w:p>
        </w:tc>
        <w:tc>
          <w:tcPr>
            <w:tcW w:w="2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sz w:val="18"/>
                <w:szCs w:val="18"/>
              </w:rPr>
            </w:pPr>
            <w:r>
              <w:rPr>
                <w:sz w:val="18"/>
                <w:szCs w:val="18"/>
              </w:rPr>
            </w:r>
          </w:p>
        </w:tc>
      </w:tr>
      <w:tr>
        <w:trPr>
          <w:cantSplit w:val="true"/>
        </w:trPr>
        <w:tc>
          <w:tcPr>
            <w:tcW w:w="33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Specified, not yet implemented</w:t>
            </w:r>
          </w:p>
        </w:tc>
        <w:tc>
          <w:tcPr>
            <w:tcW w:w="340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sz w:val="18"/>
                <w:szCs w:val="18"/>
              </w:rPr>
            </w:pPr>
            <w:r>
              <w:rPr>
                <w:b w:val="false"/>
                <w:i w:val="false"/>
                <w:sz w:val="17"/>
              </w:rPr>
              <w:t>FEAT-01 Medicare Account Authentication (link, callback, token exchange, unlink, re-auth prompts, loading/offline states)</w:t>
            </w:r>
          </w:p>
        </w:tc>
        <w:tc>
          <w:tcPr>
            <w:tcW w:w="256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sz w:val="18"/>
                <w:szCs w:val="18"/>
              </w:rPr>
            </w:pPr>
            <w:r>
              <w:rPr>
                <w:b w:val="false"/>
                <w:i w:val="false"/>
                <w:sz w:val="17"/>
              </w:rPr>
              <w:t>FR-MCR-01–FR-MCR-11, FR-MCR-25, FR-MCR-26</w:t>
            </w:r>
          </w:p>
        </w:tc>
      </w:tr>
      <w:tr>
        <w:trPr>
          <w:trHeight w:val="300" w:hRule="atLeast"/>
          <w:cantSplit w:val="true"/>
        </w:trPr>
        <w:tc>
          <w:tcPr>
            <w:tcW w:w="33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sz w:val="18"/>
                <w:szCs w:val="18"/>
              </w:rPr>
            </w:r>
          </w:p>
        </w:tc>
        <w:tc>
          <w:tcPr>
            <w:tcW w:w="340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pPr>
            <w:r>
              <w:rPr>
                <w:b w:val="false"/>
                <w:i w:val="false"/>
                <w:sz w:val="17"/>
              </w:rPr>
              <w:t>FEAT-02 Medicare Data Retrieval and Storage (visit/billing retrieval, access scoping, caching, refresh/retry, loading/empty/offline states)</w:t>
            </w:r>
          </w:p>
        </w:tc>
        <w:tc>
          <w:tcPr>
            <w:tcW w:w="256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b w:val="false"/>
                <w:i w:val="false"/>
                <w:sz w:val="17"/>
              </w:rPr>
              <w:t>FR-MCR-13, FR-MCR-14, FR-MCR-16–FR-MCR-24, FR-MCR-27–FR-MCR-29</w:t>
            </w:r>
          </w:p>
        </w:tc>
      </w:tr>
      <w:tr>
        <w:trPr>
          <w:trHeight w:val="300" w:hRule="atLeast"/>
          <w:cantSplit w:val="true"/>
        </w:trPr>
        <w:tc>
          <w:tcPr>
            <w:tcW w:w="33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sz w:val="18"/>
                <w:szCs w:val="18"/>
              </w:rPr>
            </w:r>
          </w:p>
        </w:tc>
        <w:tc>
          <w:tcPr>
            <w:tcW w:w="340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pPr>
            <w:r>
              <w:rPr>
                <w:b w:val="false"/>
                <w:i w:val="false"/>
                <w:sz w:val="17"/>
              </w:rPr>
              <w:t>Supporting security, accessibility, and performance requirements for FEAT-01/FEAT-02</w:t>
            </w:r>
          </w:p>
        </w:tc>
        <w:tc>
          <w:tcPr>
            <w:tcW w:w="256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b w:val="false"/>
                <w:i w:val="false"/>
                <w:sz w:val="17"/>
              </w:rPr>
              <w:t>NFR-SEC-01–NFR-SEC-03, NFR-ACC-01, NFR-ACC-02, NFR-ACC-04–NFR-ACC-06, NFR-PERF-01</w:t>
            </w:r>
          </w:p>
        </w:tc>
      </w:tr>
      <w:tr>
        <w:trPr>
          <w:trHeight w:val="300" w:hRule="atLeast"/>
          <w:cantSplit w:val="true"/>
        </w:trPr>
        <w:tc>
          <w:tcPr>
            <w:tcW w:w="3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sz w:val="18"/>
                <w:szCs w:val="18"/>
              </w:rPr>
            </w:pPr>
            <w:r>
              <w:rPr>
                <w:sz w:val="18"/>
                <w:szCs w:val="18"/>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pPr>
            <w:r>
              <w:rPr>
                <w:b w:val="false"/>
                <w:i w:val="false"/>
                <w:sz w:val="17"/>
              </w:rPr>
              <w:t>Architecture and Blue Button 2.0 feasibility investigation (the actual Milestone 1 deliverable per team/leader agreement)</w:t>
            </w:r>
          </w:p>
        </w:tc>
        <w:tc>
          <w:tcPr>
            <w:tcW w:w="2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sz w:val="18"/>
                <w:szCs w:val="18"/>
              </w:rPr>
            </w:pPr>
            <w:r>
              <w:rPr>
                <w:b w:val="false"/>
                <w:i w:val="false"/>
                <w:sz w:val="17"/>
              </w:rPr>
              <w:t>N/A — see TDD Section 3</w:t>
            </w:r>
          </w:p>
        </w:tc>
      </w:tr>
      <w:tr>
        <w:trPr>
          <w:trHeight w:val="300" w:hRule="atLeast"/>
          <w:cantSplit w:val="true"/>
        </w:trPr>
        <w:tc>
          <w:tcPr>
            <w:tcW w:w="3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sz w:val="18"/>
                <w:szCs w:val="18"/>
              </w:rPr>
            </w:pPr>
            <w:r>
              <w:rPr>
                <w:sz w:val="18"/>
                <w:szCs w:val="18"/>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pPr>
            <w:r>
              <w:rPr/>
            </w:r>
          </w:p>
        </w:tc>
        <w:tc>
          <w:tcPr>
            <w:tcW w:w="2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sz w:val="18"/>
                <w:szCs w:val="18"/>
              </w:rPr>
            </w:pPr>
            <w:r>
              <w:rPr>
                <w:sz w:val="18"/>
                <w:szCs w:val="18"/>
              </w:rPr>
            </w:r>
          </w:p>
        </w:tc>
      </w:tr>
      <w:tr>
        <w:trPr>
          <w:cantSplit w:val="true"/>
        </w:trPr>
        <w:tc>
          <w:tcPr>
            <w:tcW w:w="3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Carried forward from earlier milestones</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18"/>
                <w:szCs w:val="18"/>
              </w:rPr>
            </w:pPr>
            <w:r>
              <w:rPr>
                <w:b w:val="false"/>
                <w:i w:val="false"/>
                <w:sz w:val="17"/>
              </w:rPr>
              <w:t>None. This is Team Echo's first requirements increment for the Medicare feature.</w:t>
            </w:r>
          </w:p>
        </w:tc>
        <w:tc>
          <w:tcPr>
            <w:tcW w:w="2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18"/>
                <w:szCs w:val="18"/>
              </w:rPr>
            </w:pPr>
            <w:r>
              <w:rPr>
                <w:b w:val="false"/>
                <w:i w:val="false"/>
                <w:sz w:val="17"/>
              </w:rPr>
              <w:t>N/A</w:t>
            </w:r>
          </w:p>
        </w:tc>
      </w:tr>
      <w:tr>
        <w:trPr>
          <w:trHeight w:val="300" w:hRule="atLeast"/>
          <w:cantSplit w:val="true"/>
        </w:trPr>
        <w:tc>
          <w:tcPr>
            <w:tcW w:w="3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sz w:val="18"/>
                <w:szCs w:val="18"/>
              </w:rPr>
            </w:pPr>
            <w:r>
              <w:rPr>
                <w:sz w:val="18"/>
                <w:szCs w:val="18"/>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sz w:val="18"/>
                <w:szCs w:val="18"/>
              </w:rPr>
            </w:pPr>
            <w:r>
              <w:rPr>
                <w:sz w:val="18"/>
                <w:szCs w:val="18"/>
              </w:rPr>
            </w:r>
          </w:p>
        </w:tc>
        <w:tc>
          <w:tcPr>
            <w:tcW w:w="2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sz w:val="18"/>
                <w:szCs w:val="18"/>
              </w:rPr>
            </w:pPr>
            <w:r>
              <w:rPr>
                <w:sz w:val="18"/>
                <w:szCs w:val="18"/>
              </w:rPr>
            </w:r>
          </w:p>
        </w:tc>
      </w:tr>
      <w:tr>
        <w:trPr>
          <w:trHeight w:val="300" w:hRule="atLeast"/>
          <w:cantSplit w:val="true"/>
        </w:trPr>
        <w:tc>
          <w:tcPr>
            <w:tcW w:w="33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sz w:val="18"/>
                <w:szCs w:val="18"/>
              </w:rPr>
            </w:r>
          </w:p>
        </w:tc>
        <w:tc>
          <w:tcPr>
            <w:tcW w:w="340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sz w:val="18"/>
                <w:szCs w:val="18"/>
              </w:rPr>
            </w:r>
          </w:p>
        </w:tc>
        <w:tc>
          <w:tcPr>
            <w:tcW w:w="256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sz w:val="18"/>
                <w:szCs w:val="18"/>
              </w:rPr>
            </w:r>
          </w:p>
        </w:tc>
      </w:tr>
      <w:tr>
        <w:trPr>
          <w:trHeight w:val="300" w:hRule="atLeast"/>
          <w:cantSplit w:val="true"/>
        </w:trPr>
        <w:tc>
          <w:tcPr>
            <w:tcW w:w="33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sz w:val="18"/>
                <w:szCs w:val="18"/>
              </w:rPr>
            </w:r>
          </w:p>
        </w:tc>
        <w:tc>
          <w:tcPr>
            <w:tcW w:w="340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sz w:val="18"/>
                <w:szCs w:val="18"/>
              </w:rPr>
            </w:r>
          </w:p>
        </w:tc>
        <w:tc>
          <w:tcPr>
            <w:tcW w:w="256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sz w:val="18"/>
                <w:szCs w:val="18"/>
              </w:rPr>
            </w:r>
          </w:p>
        </w:tc>
      </w:tr>
      <w:tr>
        <w:trPr>
          <w:cantSplit w:val="true"/>
        </w:trPr>
        <w:tc>
          <w:tcPr>
            <w:tcW w:w="33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r>
          </w:p>
        </w:tc>
        <w:tc>
          <w:tcPr>
            <w:tcW w:w="340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sz w:val="18"/>
                <w:szCs w:val="18"/>
              </w:rPr>
            </w:pPr>
            <w:r>
              <w:rPr>
                <w:sz w:val="18"/>
                <w:szCs w:val="18"/>
              </w:rPr>
            </w:r>
          </w:p>
        </w:tc>
        <w:tc>
          <w:tcPr>
            <w:tcW w:w="256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sz w:val="18"/>
                <w:szCs w:val="18"/>
              </w:rPr>
            </w:pPr>
            <w:r>
              <w:rPr>
                <w:sz w:val="18"/>
                <w:szCs w:val="18"/>
              </w:rPr>
            </w:r>
          </w:p>
        </w:tc>
      </w:tr>
      <w:tr>
        <w:trPr>
          <w:trHeight w:val="300" w:hRule="atLeast"/>
          <w:cantSplit w:val="true"/>
        </w:trPr>
        <w:tc>
          <w:tcPr>
            <w:tcW w:w="33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b w:val="false"/>
                <w:i w:val="false"/>
                <w:sz w:val="17"/>
              </w:rPr>
              <w:t>Deferred or withdrawn this milestone</w:t>
            </w:r>
          </w:p>
        </w:tc>
        <w:tc>
          <w:tcPr>
            <w:tcW w:w="340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b w:val="false"/>
                <w:i w:val="false"/>
                <w:sz w:val="17"/>
              </w:rPr>
              <w:t>FEAT-03 Cross-Source Data Comparison (reconciliation, deltas, single-source display, loading/empty/offline states)</w:t>
            </w:r>
          </w:p>
        </w:tc>
        <w:tc>
          <w:tcPr>
            <w:tcW w:w="256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b w:val="false"/>
                <w:i w:val="false"/>
                <w:sz w:val="17"/>
              </w:rPr>
              <w:t>FR-XSRC-01–FR-XSRC-09</w:t>
            </w:r>
          </w:p>
        </w:tc>
      </w:tr>
      <w:tr>
        <w:trPr>
          <w:trHeight w:val="300" w:hRule="atLeast"/>
          <w:cantSplit w:val="true"/>
        </w:trPr>
        <w:tc>
          <w:tcPr>
            <w:tcW w:w="33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sz w:val="18"/>
                <w:szCs w:val="18"/>
              </w:rPr>
            </w:r>
          </w:p>
        </w:tc>
        <w:tc>
          <w:tcPr>
            <w:tcW w:w="340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b w:val="false"/>
                <w:i w:val="false"/>
                <w:sz w:val="17"/>
              </w:rPr>
              <w:t>Medicare token maximum-lifetime re-authentication; FHIR-conformant storage; color-independent delta indication</w:t>
            </w:r>
          </w:p>
        </w:tc>
        <w:tc>
          <w:tcPr>
            <w:tcW w:w="256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130"/>
              <w:rPr>
                <w:sz w:val="18"/>
                <w:szCs w:val="18"/>
              </w:rPr>
            </w:pPr>
            <w:r>
              <w:rPr>
                <w:b w:val="false"/>
                <w:i w:val="false"/>
                <w:sz w:val="17"/>
              </w:rPr>
              <w:t>FR-MCR-12, FR-MCR-15, NFR-ACC-03</w:t>
            </w:r>
          </w:p>
        </w:tc>
      </w:tr>
    </w:tbl>
    <w:p>
      <w:pPr>
        <w:pStyle w:val="Normal"/>
        <w:spacing w:before="60" w:after="160"/>
        <w:rPr/>
      </w:pPr>
      <w:r>
        <w:rPr>
          <w:i/>
          <w:iCs/>
        </w:rPr>
        <w:t>Note. This table is the fastest way for a grader to see what changed since the last submission.</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cantSplit w:val="true"/>
        </w:trPr>
        <w:tc>
          <w:tcPr>
            <w:tcW w:w="9360" w:type="dxa"/>
            <w:tcBorders>
              <w:top w:val="single" w:sz="4" w:space="0" w:color="000000"/>
              <w:left w:val="single" w:sz="4" w:space="0" w:color="000000"/>
              <w:bottom w:val="single" w:sz="4" w:space="0" w:color="000000"/>
              <w:right w:val="single" w:sz="4" w:space="0" w:color="000000"/>
            </w:tcBorders>
            <w:shd w:color="auto" w:fill="FDF3E0" w:val="clear"/>
          </w:tcPr>
          <w:p>
            <w:pPr>
              <w:pStyle w:val="Normal"/>
              <w:widowControl/>
              <w:bidi w:val="0"/>
              <w:spacing w:lineRule="auto" w:line="276" w:before="0" w:after="130"/>
              <w:jc w:val="left"/>
              <w:rPr/>
            </w:pPr>
            <w:r>
              <w:rPr>
                <w:b w:val="false"/>
                <w:i w:val="false"/>
                <w:sz w:val="19"/>
              </w:rPr>
              <w:t>Flag — not yet resolved. The requirements workbook (CareConnect_Medicare_Requirements_2026-08-18.xlsx) currently tags all 36 requirements listed above under “Specified, not yet implemented” as Milestone = M1 and Priority = Must, and several of their acceptance criteria read “verified in M1.” That tagging has not been corrected in the workbook. The team's actual Milestone 1 commitment, confirmed with the course leader and already reflected in TDD Section 3's scope note, is architecture planning plus a Blue Button 2.0 feasibility investigation only — no working Medicare authentication or data-retrieval code ships this milestone. This SRS reports the true delivery state (specified, not implemented) rather than the workbook's M1/Must tags. The tagging conflict is queued to be raised with the Business Analyst (Kris) so the workbook and this SRS agree; until then, the two documents disagree on record and that disagreement is disclosed here rather than silently picked one way or the other. See also OQ-M1 (Section 3.5).</w:t>
            </w:r>
          </w:p>
        </w:tc>
      </w:tr>
    </w:tbl>
    <w:p>
      <w:pPr>
        <w:pStyle w:val="Heading2"/>
        <w:rPr/>
      </w:pPr>
      <w:bookmarkStart w:id="16" w:name="__RefHeading___Toc10280_627777545"/>
      <w:bookmarkStart w:id="17" w:name="_Toc236656514"/>
      <w:bookmarkEnd w:id="16"/>
      <w:r>
        <w:rPr/>
        <w:t>1.3 Out of Scope</w:t>
      </w:r>
      <w:bookmarkEnd w:id="17"/>
    </w:p>
    <w:p>
      <w:pPr>
        <w:pStyle w:val="Normal"/>
        <w:rPr/>
      </w:pPr>
      <w:r>
        <w:rPr/>
        <w:t>Implementing integration with non-Medicare EHRs</w:t>
      </w:r>
    </w:p>
    <w:p>
      <w:pPr>
        <w:pStyle w:val="ListParagraph"/>
        <w:numPr>
          <w:ilvl w:val="0"/>
          <w:numId w:val="6"/>
        </w:numPr>
        <w:rPr/>
      </w:pPr>
      <w:r>
        <w:rPr/>
        <w:t>Team Echo is focused on Medicare implementation.</w:t>
      </w:r>
    </w:p>
    <w:p>
      <w:pPr>
        <w:pStyle w:val="ListParagraph"/>
        <w:rPr/>
      </w:pPr>
      <w:r>
        <w:rPr/>
        <w:t>Cross-source reconciliation against peer-team EHR integrations (FEAT-03 / FR-XSRC-01–FR-XSRC-09) is out of scope for Milestone 1; it depends on peer-team interfaces that do not exist yet (OQ-M2).</w:t>
      </w:r>
    </w:p>
    <w:p>
      <w:pPr>
        <w:pStyle w:val="ListParagraph"/>
        <w:rPr/>
      </w:pPr>
      <w:r>
        <w:rPr/>
        <w:t>A clinician/care-coordinator dashboard for Medicare data is out of scope for this increment. It is represented in the product backlog and the User Needs Analysis personas but has not yet been elicited into numbered requirements.</w:t>
      </w:r>
    </w:p>
    <w:p>
      <w:pPr>
        <w:pStyle w:val="ListParagraph"/>
        <w:rPr/>
      </w:pPr>
      <w:r>
        <w:rPr/>
        <w:t>Caregiver delegation and sharing controls beyond the access scoping already specified in FR-MCR-16–FR-MCR-18 are out of scope for this increment; broader sharing/consent workflows are tracked informally in the product backlog, not yet as numbered requirements.</w:t>
      </w:r>
    </w:p>
    <w:p>
      <w:pPr>
        <w:pStyle w:val="Normal"/>
        <w:rPr/>
      </w:pPr>
      <w:r>
        <w:rPr/>
      </w:r>
    </w:p>
    <w:p>
      <w:pPr>
        <w:pStyle w:val="Heading2"/>
        <w:rPr/>
      </w:pPr>
      <w:bookmarkStart w:id="18" w:name="__RefHeading___Toc10282_627777545"/>
      <w:bookmarkStart w:id="19" w:name="_Toc900000201"/>
      <w:bookmarkEnd w:id="18"/>
      <w:r>
        <w:rPr/>
        <w:t>1.4 Related Project Documents</w:t>
      </w:r>
      <w:bookmarkEnd w:id="19"/>
    </w:p>
    <w:p>
      <w:pPr>
        <w:pStyle w:val="Normal"/>
        <w:rPr/>
      </w:pPr>
      <w:r>
        <w:rPr/>
        <w:t>Record the current version, date, and location of every companion artifact for this milestone. A reader who follows a cross-reference out of this document must be able to find the version of the artifact that was current when the cross-reference was written.</w:t>
      </w:r>
    </w:p>
    <w:p>
      <w:pPr>
        <w:pStyle w:val="Normal"/>
        <w:spacing w:before="150" w:after="40"/>
        <w:rPr/>
      </w:pPr>
      <w:r>
        <w:rPr>
          <w:b/>
          <w:bCs/>
        </w:rPr>
        <w:t>Table 6</w:t>
      </w:r>
    </w:p>
    <w:p>
      <w:pPr>
        <w:pStyle w:val="Normal"/>
        <w:spacing w:before="0" w:after="80"/>
        <w:rPr/>
      </w:pPr>
      <w:r>
        <w:rPr>
          <w:i/>
          <w:iCs/>
        </w:rPr>
        <w:t>Companion Project Documents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3399"/>
        <w:gridCol w:w="1101"/>
        <w:gridCol w:w="1399"/>
        <w:gridCol w:w="3460"/>
      </w:tblGrid>
      <w:tr>
        <w:trPr>
          <w:tblHeader w:val="true"/>
          <w:cantSplit w:val="true"/>
        </w:trPr>
        <w:tc>
          <w:tcPr>
            <w:tcW w:w="339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Document</w:t>
            </w:r>
          </w:p>
        </w:tc>
        <w:tc>
          <w:tcPr>
            <w:tcW w:w="110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Version</w:t>
            </w:r>
          </w:p>
        </w:tc>
        <w:tc>
          <w:tcPr>
            <w:tcW w:w="139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Date</w:t>
            </w:r>
          </w:p>
        </w:tc>
        <w:tc>
          <w:tcPr>
            <w:tcW w:w="346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Location</w:t>
            </w:r>
          </w:p>
        </w:tc>
      </w:tr>
      <w:tr>
        <w:trPr>
          <w:cantSplit w:val="true"/>
        </w:trPr>
        <w:tc>
          <w:tcPr>
            <w:tcW w:w="3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Project Plan</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Not yet versioned</w:t>
            </w:r>
          </w:p>
        </w:tc>
        <w:tc>
          <w:tcPr>
            <w:tcW w:w="1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TBD</w:t>
            </w:r>
          </w:p>
        </w:tc>
        <w:tc>
          <w:tcPr>
            <w:tcW w:w="34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Team ECHO SWEN 670 OneDrive project folder (when issued)</w:t>
            </w:r>
          </w:p>
        </w:tc>
      </w:tr>
      <w:tr>
        <w:trPr>
          <w:cantSplit w:val="true"/>
        </w:trPr>
        <w:tc>
          <w:tcPr>
            <w:tcW w:w="3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Software Requirements Specification (this document)</w:t>
            </w:r>
          </w:p>
        </w:tc>
        <w:tc>
          <w:tcPr>
            <w:tcW w:w="110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0.91 (Draft)</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uppressLineNumbers w:val="0"/>
              <w:bidi w:val="0"/>
              <w:spacing w:lineRule="auto" w:line="240" w:beforeAutospacing="0" w:before="0" w:afterAutospacing="0" w:after="0"/>
              <w:ind w:left="0" w:right="0"/>
              <w:jc w:val="left"/>
              <w:rPr/>
            </w:pPr>
            <w:r>
              <w:rPr>
                <w:b w:val="false"/>
                <w:i w:val="false"/>
                <w:sz w:val="17"/>
              </w:rPr>
              <w:t>2026-08-25</w:t>
            </w:r>
          </w:p>
        </w:tc>
        <w:tc>
          <w:tcPr>
            <w:tcW w:w="346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Team ECHO SWEN 670 OneDrive project folder</w:t>
            </w:r>
          </w:p>
        </w:tc>
      </w:tr>
      <w:tr>
        <w:trPr>
          <w:cantSplit w:val="true"/>
        </w:trPr>
        <w:tc>
          <w:tcPr>
            <w:tcW w:w="3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Technical Design Document</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Not yet versioned</w:t>
            </w:r>
          </w:p>
        </w:tc>
        <w:tc>
          <w:tcPr>
            <w:tcW w:w="1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TBD</w:t>
            </w:r>
          </w:p>
        </w:tc>
        <w:tc>
          <w:tcPr>
            <w:tcW w:w="34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Team ECHO SWEN 670 OneDrive project folder (when issued)</w:t>
            </w:r>
          </w:p>
        </w:tc>
      </w:tr>
      <w:tr>
        <w:trPr>
          <w:cantSplit w:val="true"/>
        </w:trPr>
        <w:tc>
          <w:tcPr>
            <w:tcW w:w="3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Software Test Plan</w:t>
            </w:r>
          </w:p>
        </w:tc>
        <w:tc>
          <w:tcPr>
            <w:tcW w:w="110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Not yet versioned</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TBD</w:t>
            </w:r>
          </w:p>
        </w:tc>
        <w:tc>
          <w:tcPr>
            <w:tcW w:w="346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Team ECHO SWEN 670 OneDrive project folder (when issued)</w:t>
            </w:r>
          </w:p>
        </w:tc>
      </w:tr>
      <w:tr>
        <w:trPr>
          <w:cantSplit w:val="true"/>
        </w:trPr>
        <w:tc>
          <w:tcPr>
            <w:tcW w:w="3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Test Report</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Not yet versioned</w:t>
            </w:r>
          </w:p>
        </w:tc>
        <w:tc>
          <w:tcPr>
            <w:tcW w:w="1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TBD</w:t>
            </w:r>
          </w:p>
        </w:tc>
        <w:tc>
          <w:tcPr>
            <w:tcW w:w="34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Team ECHO SWEN 670 OneDrive project folder (when issued)</w:t>
            </w:r>
          </w:p>
        </w:tc>
      </w:tr>
      <w:tr>
        <w:trPr>
          <w:cantSplit w:val="true"/>
        </w:trPr>
        <w:tc>
          <w:tcPr>
            <w:tcW w:w="3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Programmer Guide</w:t>
            </w:r>
          </w:p>
        </w:tc>
        <w:tc>
          <w:tcPr>
            <w:tcW w:w="110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Not yet versioned</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TBD</w:t>
            </w:r>
          </w:p>
        </w:tc>
        <w:tc>
          <w:tcPr>
            <w:tcW w:w="346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Team ECHO SWEN 670 OneDrive project folder (when issued)</w:t>
            </w:r>
          </w:p>
        </w:tc>
      </w:tr>
      <w:tr>
        <w:trPr>
          <w:cantSplit w:val="true"/>
        </w:trPr>
        <w:tc>
          <w:tcPr>
            <w:tcW w:w="3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Deployment and Operations Guide</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Not yet versioned</w:t>
            </w:r>
          </w:p>
        </w:tc>
        <w:tc>
          <w:tcPr>
            <w:tcW w:w="1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TBD</w:t>
            </w:r>
          </w:p>
        </w:tc>
        <w:tc>
          <w:tcPr>
            <w:tcW w:w="34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Team ECHO SWEN 670 OneDrive project folder (when issued)</w:t>
            </w:r>
          </w:p>
        </w:tc>
      </w:tr>
      <w:tr>
        <w:trPr>
          <w:cantSplit w:val="true"/>
        </w:trPr>
        <w:tc>
          <w:tcPr>
            <w:tcW w:w="3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User Guide</w:t>
            </w:r>
          </w:p>
        </w:tc>
        <w:tc>
          <w:tcPr>
            <w:tcW w:w="110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Not yet versioned</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TBD</w:t>
            </w:r>
          </w:p>
        </w:tc>
        <w:tc>
          <w:tcPr>
            <w:tcW w:w="346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Team ECHO SWEN 670 OneDrive project folder (when issued)</w:t>
            </w:r>
          </w:p>
        </w:tc>
      </w:tr>
      <w:tr>
        <w:trPr>
          <w:cantSplit w:val="true"/>
        </w:trPr>
        <w:tc>
          <w:tcPr>
            <w:tcW w:w="3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Voluntary Product Accessibility Template</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Not yet versioned</w:t>
            </w:r>
          </w:p>
        </w:tc>
        <w:tc>
          <w:tcPr>
            <w:tcW w:w="1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TBD</w:t>
            </w:r>
          </w:p>
        </w:tc>
        <w:tc>
          <w:tcPr>
            <w:tcW w:w="34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Team ECHO SWEN 670 OneDrive project folder (when issued)</w:t>
            </w:r>
          </w:p>
        </w:tc>
      </w:tr>
    </w:tbl>
    <w:p>
      <w:pPr>
        <w:pStyle w:val="Normal"/>
        <w:spacing w:before="60" w:after="160"/>
        <w:rPr/>
      </w:pPr>
      <w:r>
        <w:rPr>
          <w:i/>
          <w:iCs/>
        </w:rPr>
        <w:t>Note. Update this table at every milestone. A cross-reference to an artifact whose version and date are not stated cannot be checked by a grader or by the next cohort.</w:t>
      </w:r>
    </w:p>
    <w:p>
      <w:pPr>
        <w:pStyle w:val="Heading2"/>
        <w:rPr/>
      </w:pPr>
      <w:bookmarkStart w:id="20" w:name="__RefHeading___Toc10284_627777545"/>
      <w:bookmarkStart w:id="21" w:name="_Toc236656515"/>
      <w:bookmarkEnd w:id="20"/>
      <w:r>
        <w:rPr/>
        <w:t>1.5 Document Conventions</w:t>
      </w:r>
      <w:bookmarkEnd w:id="21"/>
    </w:p>
    <w:p>
      <w:pPr>
        <w:pStyle w:val="Normal"/>
        <w:spacing w:before="150" w:after="40"/>
        <w:rPr/>
      </w:pPr>
      <w:r>
        <w:rPr>
          <w:b/>
          <w:bCs/>
        </w:rPr>
        <w:t>Table 7</w:t>
      </w:r>
    </w:p>
    <w:p>
      <w:pPr>
        <w:pStyle w:val="Normal"/>
        <w:spacing w:before="0" w:after="80"/>
        <w:rPr/>
      </w:pPr>
      <w:r>
        <w:rPr>
          <w:i/>
          <w:iCs/>
        </w:rPr>
        <w:t>Document Conventions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000"/>
        <w:gridCol w:w="7359"/>
      </w:tblGrid>
      <w:tr>
        <w:trPr>
          <w:tblHeader w:val="true"/>
          <w:cantSplit w:val="true"/>
        </w:trPr>
        <w:tc>
          <w:tcPr>
            <w:tcW w:w="2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Convention</w:t>
            </w:r>
          </w:p>
        </w:tc>
        <w:tc>
          <w:tcPr>
            <w:tcW w:w="735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Meaning</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shall</w:t>
            </w:r>
          </w:p>
        </w:tc>
        <w:tc>
          <w:tcPr>
            <w:tcW w:w="73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 mandatory requirement. Only shall statements are requirements.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should</w:t>
            </w:r>
          </w:p>
        </w:tc>
        <w:tc>
          <w:tcPr>
            <w:tcW w:w="73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 recommendation. Not binding and not traced.</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may</w:t>
            </w:r>
          </w:p>
        </w:tc>
        <w:tc>
          <w:tcPr>
            <w:tcW w:w="73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An option left to the implementer.</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will</w:t>
            </w:r>
          </w:p>
        </w:tc>
        <w:tc>
          <w:tcPr>
            <w:tcW w:w="73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 statement of fact about the environment, not a requirement on this system.</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w:t>
            </w:r>
          </w:p>
        </w:tc>
        <w:tc>
          <w:tcPr>
            <w:tcW w:w="73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Functional or non-functional requirement, sequential and permanent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AC-nnnn-n</w:t>
            </w:r>
          </w:p>
        </w:tc>
        <w:tc>
          <w:tcPr>
            <w:tcW w:w="73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Acceptance criterion belonging to a requirement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UC-nn</w:t>
            </w:r>
          </w:p>
        </w:tc>
        <w:tc>
          <w:tcPr>
            <w:tcW w:w="73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Use case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TC-nnnn</w:t>
            </w:r>
          </w:p>
        </w:tc>
        <w:tc>
          <w:tcPr>
            <w:tcW w:w="73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Test case, assigned in the Software Test Plan</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BR-nn</w:t>
            </w:r>
          </w:p>
        </w:tc>
        <w:tc>
          <w:tcPr>
            <w:tcW w:w="73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Business rule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SRC-nn</w:t>
            </w:r>
          </w:p>
        </w:tc>
        <w:tc>
          <w:tcPr>
            <w:tcW w:w="73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Requirement source, defined in Section 3.3</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RSK-nn</w:t>
            </w:r>
          </w:p>
        </w:tc>
        <w:tc>
          <w:tcPr>
            <w:tcW w:w="73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Requirement risk, defined in Section 13</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OQ-nn</w:t>
            </w:r>
          </w:p>
        </w:tc>
        <w:tc>
          <w:tcPr>
            <w:tcW w:w="73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Open question or undecided item, defined in Section 3.5</w:t>
            </w:r>
          </w:p>
        </w:tc>
      </w:tr>
    </w:tbl>
    <w:p>
      <w:pPr>
        <w:pStyle w:val="Normal"/>
        <w:spacing w:before="60" w:after="160"/>
        <w:rPr/>
      </w:pPr>
      <w:r>
        <w:rPr>
          <w:i/>
          <w:iCs/>
        </w:rPr>
        <w:t>Note. Identifiers are sequential and permanent. They are never derived from section numbers, because renumbering a section would break every trace link in the project.</w:t>
      </w:r>
    </w:p>
    <w:p>
      <w:pPr>
        <w:pStyle w:val="Heading2"/>
        <w:rPr/>
      </w:pPr>
      <w:bookmarkStart w:id="22" w:name="__RefHeading___Toc10286_627777545"/>
      <w:bookmarkStart w:id="23" w:name="_Toc236656516"/>
      <w:bookmarkEnd w:id="22"/>
      <w:r>
        <w:rPr/>
        <w:t>1.6 Definitions, Acronyms, and Abbreviations</w:t>
      </w:r>
      <w:bookmarkEnd w:id="23"/>
    </w:p>
    <w:p>
      <w:pPr>
        <w:pStyle w:val="Normal"/>
        <w:rPr/>
      </w:pPr>
      <w:r>
        <w:rPr/>
        <w:t>See Appendix A and Appendix B. Spell out every acronym at first use in the body text.</w:t>
      </w:r>
    </w:p>
    <w:p>
      <w:pPr>
        <w:pStyle w:val="Heading2"/>
        <w:rPr/>
      </w:pPr>
      <w:bookmarkStart w:id="24" w:name="__RefHeading___Toc10288_627777545"/>
      <w:bookmarkStart w:id="25" w:name="_Toc236656517"/>
      <w:bookmarkEnd w:id="24"/>
      <w:r>
        <w:rPr/>
        <w:t>1.7 Intended Audience and Reading Suggestions</w:t>
      </w:r>
      <w:bookmarkEnd w:id="25"/>
    </w:p>
    <w:p>
      <w:pPr>
        <w:pStyle w:val="Normal"/>
        <w:spacing w:before="150" w:after="40"/>
        <w:rPr/>
      </w:pPr>
      <w:r>
        <w:rPr>
          <w:b/>
          <w:bCs/>
        </w:rPr>
        <w:t>Table 8</w:t>
      </w:r>
    </w:p>
    <w:p>
      <w:pPr>
        <w:pStyle w:val="Normal"/>
        <w:spacing w:before="0" w:after="80"/>
        <w:rPr/>
      </w:pPr>
      <w:r>
        <w:rPr>
          <w:i/>
          <w:iCs/>
        </w:rPr>
        <w:t>Reading Guide by Audience</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398"/>
        <w:gridCol w:w="3402"/>
        <w:gridCol w:w="3560"/>
      </w:tblGrid>
      <w:tr>
        <w:trPr>
          <w:tblHeader w:val="true"/>
          <w:cantSplit w:val="true"/>
        </w:trPr>
        <w:tc>
          <w:tcPr>
            <w:tcW w:w="23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Audience</w:t>
            </w:r>
          </w:p>
        </w:tc>
        <w:tc>
          <w:tcPr>
            <w:tcW w:w="340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Read First</w:t>
            </w:r>
          </w:p>
        </w:tc>
        <w:tc>
          <w:tcPr>
            <w:tcW w:w="35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Why</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Client and product owner</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Sections 3, 5, 6, 10</w:t>
            </w:r>
          </w:p>
        </w:tc>
        <w:tc>
          <w:tcPr>
            <w:tcW w:w="3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Confirms the team captured what was asked for</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Instructor</w:t>
            </w:r>
          </w:p>
        </w:tc>
        <w:tc>
          <w:tcPr>
            <w:tcW w:w="34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Sections 1.2, 4, 15, and the revision history</w:t>
            </w:r>
          </w:p>
        </w:tc>
        <w:tc>
          <w:tcPr>
            <w:tcW w:w="35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Shows what changed and whether it traces</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Developers</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Sections 6 to 12</w:t>
            </w:r>
          </w:p>
        </w:tc>
        <w:tc>
          <w:tcPr>
            <w:tcW w:w="3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Behavior, interfaces, data, and constraints</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Testers</w:t>
            </w:r>
          </w:p>
        </w:tc>
        <w:tc>
          <w:tcPr>
            <w:tcW w:w="34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Sections 6, 11, 14, 15</w:t>
            </w:r>
          </w:p>
        </w:tc>
        <w:tc>
          <w:tcPr>
            <w:tcW w:w="35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Acceptance criteria and verification methods</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Next cohort</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Sections 2.2, 5.2, 3.5</w:t>
            </w:r>
          </w:p>
        </w:tc>
        <w:tc>
          <w:tcPr>
            <w:tcW w:w="3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Inherited baseline, deferred backlog, unresolved questions</w:t>
            </w:r>
          </w:p>
        </w:tc>
      </w:tr>
    </w:tbl>
    <w:p>
      <w:pPr>
        <w:pStyle w:val="Normal"/>
        <w:spacing w:before="60" w:after="160"/>
        <w:rPr/>
      </w:pPr>
      <w:r>
        <w:rPr>
          <w:i/>
          <w:iCs/>
        </w:rPr>
        <w:t>Note. Write the document so each of these audiences can start where the table says and still make sense of it.</w:t>
      </w:r>
    </w:p>
    <w:p>
      <w:pPr>
        <w:pStyle w:val="Heading2"/>
        <w:rPr/>
      </w:pPr>
      <w:r>
        <w:rPr/>
      </w:r>
    </w:p>
    <w:p>
      <w:pPr>
        <w:pStyle w:val="Normal"/>
        <w:rPr/>
      </w:pPr>
      <w:r>
        <w:rPr/>
      </w:r>
      <w:r>
        <w:br w:type="page"/>
      </w:r>
    </w:p>
    <w:p>
      <w:pPr>
        <w:pStyle w:val="Heading2"/>
        <w:spacing w:before="0" w:after="110"/>
        <w:rPr/>
      </w:pPr>
      <w:bookmarkStart w:id="26" w:name="__RefHeading___Toc10290_627777545"/>
      <w:bookmarkStart w:id="27" w:name="_Toc236656518"/>
      <w:bookmarkEnd w:id="26"/>
      <w:r>
        <w:rPr/>
        <w:t>1.8 References</w:t>
      </w:r>
      <w:bookmarkEnd w:id="27"/>
    </w:p>
    <w:p>
      <w:pPr>
        <w:pStyle w:val="Normal"/>
        <w:rPr/>
      </w:pPr>
      <w:r>
        <w:rPr/>
      </w:r>
    </w:p>
    <w:p>
      <w:pPr>
        <w:pStyle w:val="Normal"/>
        <w:ind w:hanging="0" w:left="0"/>
        <w:rPr/>
      </w:pPr>
      <w:r>
        <w:rPr/>
        <w:t xml:space="preserve">CMS Developer Tools. (2026). Retrieved August 16th, 2026 </w:t>
      </w:r>
      <w:hyperlink r:id="rId2">
        <w:r>
          <w:rPr>
            <w:rStyle w:val="Hyperlink"/>
          </w:rPr>
          <w:t>https://developer.cms.gov/</w:t>
        </w:r>
      </w:hyperlink>
    </w:p>
    <w:p>
      <w:pPr>
        <w:pStyle w:val="Normal"/>
        <w:suppressLineNumbers w:val="0"/>
        <w:bidi w:val="0"/>
        <w:spacing w:lineRule="auto" w:line="276" w:beforeAutospacing="0" w:before="0" w:afterAutospacing="0" w:after="130"/>
        <w:ind w:hanging="0" w:left="0" w:right="0"/>
        <w:jc w:val="left"/>
        <w:rPr/>
      </w:pPr>
      <w:r>
        <w:rPr/>
        <w:t xml:space="preserve">UMGC Summer CareConnect Cohort (2026). Handoff. Retrieved August 16th, 2026. </w:t>
      </w:r>
      <w:hyperlink r:id="rId3">
        <w:r>
          <w:rPr>
            <w:rStyle w:val="Hyperlink"/>
          </w:rPr>
          <w:t>https://umuc365-my.sharepoint.com/:w:/r/personal/jcampbell192_student_umgc_edu/_layouts/15/Doc.aspx?sourcedoc=%7B88BA1980-76AC-4C3A-BAA2-68B5EB50B73C%7D&amp;file=09_Handoff.docx&amp;action=default&amp;mobileredirect=true</w:t>
        </w:r>
      </w:hyperlink>
    </w:p>
    <w:p>
      <w:pPr>
        <w:pStyle w:val="Normal"/>
        <w:rPr/>
      </w:pPr>
      <w:r>
        <w:rPr/>
        <w:t>CareConnect Team Echo. (2026). CareConnect user needs analysis (Version 1.0). Internal capstone document, added as an appendix to the Technical Design Document.</w:t>
      </w:r>
    </w:p>
    <w:p>
      <w:pPr>
        <w:pStyle w:val="Normal"/>
        <w:rPr/>
      </w:pPr>
      <w:r>
        <w:rPr/>
        <w:t>CareConnect Team Echo. (2026, August 15). Requirements elicitation meeting transcript and notes [Unpublished raw data]. Internal capstone record. Note: the transcript and the separate notes record of this meeting disagree on the user roster and on HIPAA applicability; both are cited because the conflict between them is preserved rather than resolved in this document (see Sections 2.4, 2.6, 2.7, and 11.6).</w:t>
      </w:r>
    </w:p>
    <w:p>
      <w:pPr>
        <w:pStyle w:val="Normal"/>
        <w:rPr/>
      </w:pPr>
      <w:r>
        <w:rPr/>
        <w:t>International Organization for Standardization, International Electrotechnical Commission, &amp; Institute of Electrical and Electronics Engineers. (2018). Systems and software engineering — Life cycle processes — Requirements engineering (ISO/IEC/IEEE 29148:2018).</w:t>
      </w:r>
    </w:p>
    <w:p>
      <w:pPr>
        <w:pStyle w:val="Normal"/>
        <w:rPr/>
      </w:pPr>
      <w:r>
        <w:rPr/>
        <w:t>W3C Web Accessibility Initiative. (2023). Web Content Accessibility Guidelines (WCAG) 2.1. Retrieved August 2026, from https://www.w3.org/TR/WCAG21/</w:t>
      </w:r>
    </w:p>
    <w:p>
      <w:pPr>
        <w:pStyle w:val="Normal"/>
        <w:rPr/>
      </w:pPr>
      <w:r>
        <w:rPr/>
        <w:t>HL7 International. (2019). HL7 FHIR Release 4 (R4). Retrieved August 2026, from https://hl7.org/fhir/R4/</w:t>
      </w:r>
    </w:p>
    <w:p>
      <w:pPr>
        <w:pStyle w:val="Normal"/>
        <w:suppressLineNumbers w:val="0"/>
        <w:bidi w:val="0"/>
        <w:spacing w:lineRule="auto" w:line="276" w:beforeAutospacing="0" w:before="0" w:afterAutospacing="0" w:after="130"/>
        <w:ind w:hanging="0" w:left="0" w:right="0"/>
        <w:jc w:val="left"/>
        <w:rPr/>
      </w:pPr>
      <w:r>
        <w:rPr/>
      </w:r>
    </w:p>
    <w:p>
      <w:pPr>
        <w:pStyle w:val="Normal"/>
        <w:suppressLineNumbers w:val="0"/>
        <w:bidi w:val="0"/>
        <w:spacing w:lineRule="auto" w:line="276" w:beforeAutospacing="0" w:before="0" w:afterAutospacing="0" w:after="130"/>
        <w:ind w:hanging="0" w:left="0" w:right="0"/>
        <w:jc w:val="left"/>
        <w:rPr/>
      </w:pPr>
      <w:r>
        <w:rPr/>
      </w:r>
    </w:p>
    <w:p>
      <w:pPr>
        <w:pStyle w:val="Normal"/>
        <w:rPr/>
      </w:pPr>
      <w:r>
        <w:rPr/>
      </w:r>
    </w:p>
    <w:p>
      <w:pPr>
        <w:pStyle w:val="Normal"/>
        <w:rPr/>
      </w:pPr>
      <w:r>
        <w:rPr/>
      </w:r>
    </w:p>
    <w:p>
      <w:pPr>
        <w:pStyle w:val="Normal"/>
        <w:rPr/>
      </w:pPr>
      <w:r>
        <w:rPr/>
      </w:r>
      <w:r>
        <w:br w:type="page"/>
      </w:r>
    </w:p>
    <w:p>
      <w:pPr>
        <w:pStyle w:val="Normal"/>
        <w:spacing w:before="0" w:after="130"/>
        <w:rPr/>
      </w:pPr>
      <w:r>
        <w:rPr/>
      </w:r>
    </w:p>
    <w:p>
      <w:pPr>
        <w:pStyle w:val="Heading1"/>
        <w:rPr/>
      </w:pPr>
      <w:bookmarkStart w:id="28" w:name="__RefHeading___Toc10292_627777545"/>
      <w:bookmarkStart w:id="29" w:name="_Toc236656519"/>
      <w:bookmarkEnd w:id="28"/>
      <w:r>
        <w:rPr/>
        <w:t>2. Overall Description</w:t>
      </w:r>
      <w:bookmarkEnd w:id="29"/>
    </w:p>
    <w:p>
      <w:pPr>
        <w:pStyle w:val="Heading2"/>
        <w:rPr/>
      </w:pPr>
      <w:bookmarkStart w:id="30" w:name="__RefHeading___Toc10294_627777545"/>
      <w:bookmarkStart w:id="31" w:name="_Toc236656520"/>
      <w:bookmarkEnd w:id="30"/>
      <w:r>
        <w:rPr/>
        <w:t>2.1 Product Perspective</w:t>
      </w:r>
      <w:bookmarkEnd w:id="31"/>
    </w:p>
    <w:p>
      <w:pPr>
        <w:pStyle w:val="Normal"/>
        <w:rPr/>
      </w:pPr>
      <w:r>
        <w:rPr/>
        <w:t xml:space="preserve">CareConnect is an existing, end-to-end care coordination application built by previous teams with mobile, web and desktop frontends, backend services and AWS-hosted infrastructure. Team Echo is building a module to integrate Medicare into the already established application. Team Echo must retrieve Medicare data from existing Medicare APIs and reconcile said data with retrieved information from other external EHRs. </w:t>
      </w:r>
    </w:p>
    <w:p>
      <w:pPr>
        <w:pStyle w:val="Normal"/>
        <w:spacing w:before="150" w:after="40"/>
        <w:rPr/>
      </w:pPr>
      <w:r>
        <w:rPr>
          <w:b/>
          <w:bCs/>
        </w:rPr>
        <w:t>Figure 1</w:t>
      </w:r>
    </w:p>
    <w:p>
      <w:pPr>
        <w:pStyle w:val="Normal"/>
        <w:spacing w:before="0" w:after="60"/>
        <w:rPr/>
      </w:pPr>
      <w:r>
        <w:rPr>
          <w:i/>
          <w:iCs/>
        </w:rPr>
        <w:t>System Context Diagram</w:t>
      </w:r>
    </w:p>
    <w:p>
      <w:pPr>
        <w:pStyle w:val="Normal"/>
        <w:pBdr>
          <w:top w:val="dashed" w:sz="6" w:space="0" w:color="999999"/>
          <w:left w:val="dashed" w:sz="6" w:space="0" w:color="999999"/>
          <w:bottom w:val="dashed" w:sz="6" w:space="0" w:color="999999"/>
          <w:right w:val="dashed" w:sz="6" w:space="0" w:color="999999"/>
        </w:pBdr>
        <w:shd w:val="clear" w:color="auto" w:fill="F5F5F5"/>
        <w:spacing w:before="40" w:after="40"/>
        <w:jc w:val="center"/>
        <w:rPr/>
      </w:pPr>
      <w:r>
        <w:rPr/>
        <w:drawing>
          <wp:inline distT="0" distB="0" distL="0" distR="0">
            <wp:extent cx="5486400" cy="22237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4"/>
                    <a:stretch>
                      <a:fillRect/>
                    </a:stretch>
                  </pic:blipFill>
                  <pic:spPr bwMode="auto">
                    <a:xfrm>
                      <a:off x="0" y="0"/>
                      <a:ext cx="5486400" cy="2223770"/>
                    </a:xfrm>
                    <a:prstGeom prst="rect">
                      <a:avLst/>
                    </a:prstGeom>
                  </pic:spPr>
                </pic:pic>
              </a:graphicData>
            </a:graphic>
          </wp:inline>
        </w:drawing>
      </w:r>
    </w:p>
    <w:p>
      <w:pPr>
        <w:pStyle w:val="Normal"/>
        <w:spacing w:before="0" w:after="160"/>
        <w:rPr/>
      </w:pPr>
      <w:r>
        <w:rPr>
          <w:i/>
          <w:iCs/>
        </w:rPr>
        <w:t>Note. CareConnect is shown as a single system with three actor groups — patients, caregivers, and CareConnect internal staff — and two external systems: the CMS Blue Button 2.0 API (Medicare data) and the peer-team EHR sources used in cross-source reconciliation (Milestone 2+). This is the same context diagram already used in TDD Section 3.</w:t>
      </w:r>
    </w:p>
    <w:p>
      <w:pPr>
        <w:pStyle w:val="Heading2"/>
        <w:rPr/>
      </w:pPr>
      <w:bookmarkStart w:id="32" w:name="__RefHeading___Toc10296_627777545"/>
      <w:bookmarkStart w:id="33" w:name="_Toc236656521"/>
      <w:bookmarkEnd w:id="32"/>
      <w:r>
        <w:rPr/>
        <w:t>2.2 Inherited Baseline</w:t>
      </w:r>
      <w:bookmarkEnd w:id="33"/>
    </w:p>
    <w:p>
      <w:pPr>
        <w:pStyle w:val="Normal"/>
        <w:rPr/>
      </w:pPr>
      <w:r>
        <w:rPr/>
        <w:t>Team Echo is working on an already established codebase (</w:t>
      </w:r>
      <w:hyperlink r:id="rId5">
        <w:r>
          <w:rPr>
            <w:rStyle w:val="Hyperlink"/>
          </w:rPr>
          <w:t>https://github.com/umgc/2026_summer_careconnect/tree/main</w:t>
        </w:r>
      </w:hyperlink>
      <w:r>
        <w:rPr/>
        <w:t xml:space="preserve">). As per the Handoff document, Team Echo is responsible for issues 1.6 - 10.  </w:t>
      </w:r>
    </w:p>
    <w:p>
      <w:pPr>
        <w:pStyle w:val="Normal"/>
        <w:spacing w:before="150" w:after="40"/>
        <w:rPr/>
      </w:pPr>
      <w:r>
        <w:rPr>
          <w:b/>
          <w:bCs/>
        </w:rPr>
        <w:t>Table 9</w:t>
      </w:r>
    </w:p>
    <w:p>
      <w:pPr>
        <w:pStyle w:val="Normal"/>
        <w:spacing w:before="0" w:after="80"/>
        <w:rPr/>
      </w:pPr>
      <w:r>
        <w:rPr>
          <w:i/>
          <w:iCs/>
        </w:rPr>
        <w:t>Inherited Requirements and Their Condition</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398"/>
        <w:gridCol w:w="2002"/>
        <w:gridCol w:w="2561"/>
        <w:gridCol w:w="2398"/>
      </w:tblGrid>
      <w:tr>
        <w:trPr>
          <w:tblHeader w:val="true"/>
          <w:cantSplit w:val="true"/>
        </w:trPr>
        <w:tc>
          <w:tcPr>
            <w:tcW w:w="239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Inherited item</w:t>
            </w:r>
          </w:p>
        </w:tc>
        <w:tc>
          <w:tcPr>
            <w:tcW w:w="200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Source term or team</w:t>
            </w:r>
          </w:p>
        </w:tc>
        <w:tc>
          <w:tcPr>
            <w:tcW w:w="256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Condition received</w:t>
            </w:r>
          </w:p>
        </w:tc>
        <w:tc>
          <w:tcPr>
            <w:tcW w:w="239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Handling this term</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1.6 Telemetry Ingestion in Deployed Environments</w:t>
            </w:r>
          </w:p>
        </w:tc>
        <w:tc>
          <w:tcPr>
            <w:tcW w:w="2002"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Summer 2026</w:t>
            </w:r>
          </w:p>
        </w:tc>
        <w:tc>
          <w:tcPr>
            <w:tcW w:w="25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Not working</w:t>
            </w:r>
          </w:p>
        </w:tc>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In-work</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uppressLineNumbers w:val="0"/>
              <w:bidi w:val="0"/>
              <w:spacing w:lineRule="auto" w:line="240" w:beforeAutospacing="0" w:before="0" w:afterAutospacing="0" w:after="0"/>
              <w:ind w:left="0" w:right="0"/>
              <w:jc w:val="left"/>
              <w:rPr/>
            </w:pPr>
            <w:r>
              <w:rPr>
                <w:sz w:val="18"/>
                <w:szCs w:val="18"/>
              </w:rPr>
              <w:t>1,7 Telemetry Retention Policy</w:t>
            </w:r>
          </w:p>
        </w:tc>
        <w:tc>
          <w:tcPr>
            <w:tcW w:w="200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uppressLineNumbers w:val="0"/>
              <w:bidi w:val="0"/>
              <w:spacing w:lineRule="auto" w:line="240" w:beforeAutospacing="0" w:before="0" w:afterAutospacing="0" w:after="0"/>
              <w:ind w:left="0" w:right="0"/>
              <w:jc w:val="left"/>
              <w:rPr/>
            </w:pPr>
            <w:r>
              <w:rPr>
                <w:sz w:val="18"/>
                <w:szCs w:val="18"/>
              </w:rPr>
              <w:t>Summer 2026</w:t>
            </w:r>
          </w:p>
        </w:tc>
        <w:tc>
          <w:tcPr>
            <w:tcW w:w="256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Not working</w:t>
            </w:r>
          </w:p>
        </w:tc>
        <w:tc>
          <w:tcPr>
            <w:tcW w:w="23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In-work</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1.8 Server Side Telemetry Validation</w:t>
            </w:r>
          </w:p>
        </w:tc>
        <w:tc>
          <w:tcPr>
            <w:tcW w:w="20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Summer 2026</w:t>
            </w:r>
          </w:p>
        </w:tc>
        <w:tc>
          <w:tcPr>
            <w:tcW w:w="25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Not working</w:t>
            </w:r>
          </w:p>
        </w:tc>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In-work</w:t>
            </w:r>
          </w:p>
        </w:tc>
      </w:tr>
      <w:tr>
        <w:trPr>
          <w:trHeight w:val="300" w:hRule="atLeast"/>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pPr>
            <w:r>
              <w:rPr>
                <w:sz w:val="18"/>
                <w:szCs w:val="18"/>
              </w:rPr>
              <w:t>1.9 Unimplemented Medication Telemetry Events</w:t>
            </w:r>
          </w:p>
        </w:tc>
        <w:tc>
          <w:tcPr>
            <w:tcW w:w="20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pPr>
            <w:r>
              <w:rPr>
                <w:sz w:val="18"/>
                <w:szCs w:val="18"/>
              </w:rPr>
              <w:t>Summer 2026</w:t>
            </w:r>
          </w:p>
        </w:tc>
        <w:tc>
          <w:tcPr>
            <w:tcW w:w="25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pPr>
            <w:r>
              <w:rPr>
                <w:sz w:val="18"/>
                <w:szCs w:val="18"/>
              </w:rPr>
              <w:t>Not working</w:t>
            </w:r>
          </w:p>
        </w:tc>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pPr>
            <w:r>
              <w:rPr>
                <w:sz w:val="18"/>
                <w:szCs w:val="18"/>
              </w:rPr>
              <w:t>In-work</w:t>
            </w:r>
          </w:p>
        </w:tc>
      </w:tr>
      <w:tr>
        <w:trPr>
          <w:trHeight w:val="300" w:hRule="atLeast"/>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pPr>
            <w:r>
              <w:rPr>
                <w:sz w:val="18"/>
                <w:szCs w:val="18"/>
              </w:rPr>
              <w:t>1.10 Medication Photo Caputre</w:t>
            </w:r>
          </w:p>
        </w:tc>
        <w:tc>
          <w:tcPr>
            <w:tcW w:w="20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pPr>
            <w:r>
              <w:rPr>
                <w:sz w:val="18"/>
                <w:szCs w:val="18"/>
              </w:rPr>
              <w:t>Summer 2026</w:t>
            </w:r>
          </w:p>
        </w:tc>
        <w:tc>
          <w:tcPr>
            <w:tcW w:w="25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pPr>
            <w:r>
              <w:rPr>
                <w:sz w:val="18"/>
                <w:szCs w:val="18"/>
              </w:rPr>
              <w:t>Not working</w:t>
            </w:r>
          </w:p>
        </w:tc>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30"/>
              <w:rPr/>
            </w:pPr>
            <w:r>
              <w:rPr>
                <w:sz w:val="18"/>
                <w:szCs w:val="18"/>
              </w:rPr>
              <w:t>In-work</w:t>
            </w:r>
          </w:p>
        </w:tc>
      </w:tr>
    </w:tbl>
    <w:p>
      <w:pPr>
        <w:pStyle w:val="Normal"/>
        <w:spacing w:before="60" w:after="160"/>
        <w:rPr/>
      </w:pPr>
      <w:r>
        <w:rPr>
          <w:i/>
          <w:iCs/>
        </w:rPr>
        <w:t>Note. Requirements carried forward unchanged keep their original identifiers. Do not renumber inherited requirements.</w:t>
      </w:r>
    </w:p>
    <w:p>
      <w:pPr>
        <w:pStyle w:val="Heading2"/>
        <w:rPr/>
      </w:pPr>
      <w:r>
        <w:rPr/>
      </w:r>
    </w:p>
    <w:p>
      <w:pPr>
        <w:pStyle w:val="Heading2"/>
        <w:rPr/>
      </w:pPr>
      <w:r>
        <w:rPr/>
      </w:r>
    </w:p>
    <w:p>
      <w:pPr>
        <w:pStyle w:val="Heading2"/>
        <w:rPr/>
      </w:pPr>
      <w:bookmarkStart w:id="34" w:name="__RefHeading___Toc10298_627777545"/>
      <w:bookmarkStart w:id="35" w:name="_Toc236656522"/>
      <w:bookmarkEnd w:id="34"/>
      <w:r>
        <w:rPr/>
        <w:t>2.3 Product Functions</w:t>
      </w:r>
      <w:bookmarkEnd w:id="35"/>
    </w:p>
    <w:p>
      <w:pPr>
        <w:pStyle w:val="ListParagraph"/>
        <w:numPr>
          <w:ilvl w:val="0"/>
          <w:numId w:val="5"/>
        </w:numPr>
        <w:rPr/>
      </w:pPr>
      <w:r>
        <w:rPr/>
        <w:t>Account authentication and user management</w:t>
      </w:r>
    </w:p>
    <w:p>
      <w:pPr>
        <w:pStyle w:val="ListParagraph"/>
        <w:numPr>
          <w:ilvl w:val="0"/>
          <w:numId w:val="5"/>
        </w:numPr>
        <w:rPr/>
      </w:pPr>
      <w:r>
        <w:rPr/>
        <w:t>Patient-caregiver relationship management</w:t>
      </w:r>
    </w:p>
    <w:p>
      <w:pPr>
        <w:pStyle w:val="ListParagraph"/>
        <w:numPr>
          <w:ilvl w:val="0"/>
          <w:numId w:val="5"/>
        </w:numPr>
        <w:rPr/>
      </w:pPr>
      <w:r>
        <w:rPr/>
        <w:t xml:space="preserve">Role-based access control </w:t>
      </w:r>
    </w:p>
    <w:p>
      <w:pPr>
        <w:pStyle w:val="ListParagraph"/>
        <w:numPr>
          <w:ilvl w:val="0"/>
          <w:numId w:val="5"/>
        </w:numPr>
        <w:rPr/>
      </w:pPr>
      <w:r>
        <w:rPr/>
        <w:t xml:space="preserve">Real-time chat </w:t>
      </w:r>
    </w:p>
    <w:p>
      <w:pPr>
        <w:pStyle w:val="ListParagraph"/>
        <w:numPr>
          <w:ilvl w:val="0"/>
          <w:numId w:val="5"/>
        </w:numPr>
        <w:rPr/>
      </w:pPr>
      <w:r>
        <w:rPr/>
        <w:t>Audio/video calling</w:t>
      </w:r>
    </w:p>
    <w:p>
      <w:pPr>
        <w:pStyle w:val="ListParagraph"/>
        <w:numPr>
          <w:ilvl w:val="0"/>
          <w:numId w:val="5"/>
        </w:numPr>
        <w:rPr/>
      </w:pPr>
      <w:r>
        <w:rPr/>
        <w:t xml:space="preserve">AI supported systems </w:t>
      </w:r>
    </w:p>
    <w:p>
      <w:pPr>
        <w:pStyle w:val="Normal"/>
        <w:rPr/>
      </w:pPr>
      <w:r>
        <w:rPr/>
        <w:t>Team Echo</w:t>
      </w:r>
    </w:p>
    <w:p>
      <w:pPr>
        <w:pStyle w:val="ListParagraph"/>
        <w:numPr>
          <w:ilvl w:val="0"/>
          <w:numId w:val="4"/>
        </w:numPr>
        <w:rPr/>
      </w:pPr>
      <w:r>
        <w:rPr/>
        <w:t>Secure account linking with Medicare</w:t>
      </w:r>
    </w:p>
    <w:p>
      <w:pPr>
        <w:pStyle w:val="ListParagraph"/>
        <w:numPr>
          <w:ilvl w:val="0"/>
          <w:numId w:val="4"/>
        </w:numPr>
        <w:rPr/>
      </w:pPr>
      <w:r>
        <w:rPr/>
        <w:t>Retrieval of Medicare information such as visit/financial information</w:t>
      </w:r>
    </w:p>
    <w:p>
      <w:pPr>
        <w:pStyle w:val="ListParagraph"/>
        <w:numPr>
          <w:ilvl w:val="0"/>
          <w:numId w:val="4"/>
        </w:numPr>
        <w:rPr/>
      </w:pPr>
      <w:r>
        <w:rPr/>
        <w:t xml:space="preserve">Role-based access control </w:t>
      </w:r>
    </w:p>
    <w:p>
      <w:pPr>
        <w:pStyle w:val="ListParagraph"/>
        <w:numPr>
          <w:ilvl w:val="0"/>
          <w:numId w:val="4"/>
        </w:numPr>
        <w:rPr/>
      </w:pPr>
      <w:r>
        <w:rPr/>
        <w:t>Display given information to allowed users</w:t>
      </w:r>
    </w:p>
    <w:p>
      <w:pPr>
        <w:pStyle w:val="Heading2"/>
        <w:rPr/>
      </w:pPr>
      <w:bookmarkStart w:id="36" w:name="__RefHeading___Toc10300_627777545"/>
      <w:bookmarkStart w:id="37" w:name="_Toc236656523"/>
      <w:bookmarkEnd w:id="36"/>
      <w:r>
        <w:rPr/>
        <w:t>2.4 User Classes and Characteristics</w:t>
      </w:r>
      <w:bookmarkEnd w:id="37"/>
    </w:p>
    <w:p>
      <w:pPr>
        <w:pStyle w:val="Normal"/>
        <w:spacing w:before="150" w:after="40"/>
        <w:rPr/>
      </w:pPr>
      <w:r>
        <w:rPr>
          <w:b/>
          <w:bCs/>
        </w:rPr>
        <w:t>Table 10</w:t>
      </w:r>
    </w:p>
    <w:p>
      <w:pPr>
        <w:pStyle w:val="Normal"/>
        <w:spacing w:before="0" w:after="80"/>
        <w:rPr/>
      </w:pPr>
      <w:r>
        <w:rPr>
          <w:i/>
          <w:iCs/>
        </w:rPr>
        <w:t>User Classes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698"/>
        <w:gridCol w:w="2162"/>
        <w:gridCol w:w="1300"/>
        <w:gridCol w:w="1400"/>
        <w:gridCol w:w="1499"/>
        <w:gridCol w:w="1300"/>
      </w:tblGrid>
      <w:tr>
        <w:trPr>
          <w:tblHeader w:val="true"/>
          <w:cantSplit w:val="true"/>
        </w:trPr>
        <w:tc>
          <w:tcPr>
            <w:tcW w:w="169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User class</w:t>
            </w:r>
          </w:p>
        </w:tc>
        <w:tc>
          <w:tcPr>
            <w:tcW w:w="21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Description</w:t>
            </w:r>
          </w:p>
        </w:tc>
        <w:tc>
          <w:tcPr>
            <w:tcW w:w="13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Technical skill</w:t>
            </w:r>
          </w:p>
        </w:tc>
        <w:tc>
          <w:tcPr>
            <w:tcW w:w="14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Frequency of use</w:t>
            </w:r>
          </w:p>
        </w:tc>
        <w:tc>
          <w:tcPr>
            <w:tcW w:w="149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Privilege level</w:t>
            </w:r>
          </w:p>
        </w:tc>
        <w:tc>
          <w:tcPr>
            <w:tcW w:w="13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Accessibility needs</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Patient</w:t>
            </w:r>
          </w:p>
        </w:tc>
        <w:tc>
          <w:tcPr>
            <w:tcW w:w="21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Medicare beneficiary who can view and share retrieved Medicare information in CareConnect.</w:t>
            </w:r>
          </w:p>
        </w:tc>
        <w:tc>
          <w:tcPr>
            <w:tcW w:w="1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Low</w:t>
            </w:r>
          </w:p>
        </w:tc>
        <w:tc>
          <w:tcPr>
            <w:tcW w:w="1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Daily</w:t>
            </w:r>
          </w:p>
        </w:tc>
        <w:tc>
          <w:tcPr>
            <w:tcW w:w="1499"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Own record only.</w:t>
            </w:r>
          </w:p>
        </w:tc>
        <w:tc>
          <w:tcPr>
            <w:tcW w:w="1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18"/>
                <w:szCs w:val="18"/>
              </w:rPr>
            </w:pPr>
            <w:r>
              <w:rPr>
                <w:sz w:val="18"/>
                <w:szCs w:val="18"/>
              </w:rPr>
              <w:t>Vision, hearing, motor and cognitive needs outlined by WCAG 2.1 AA</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Family caregiver</w:t>
            </w:r>
          </w:p>
        </w:tc>
        <w:tc>
          <w:tcPr>
            <w:tcW w:w="216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sz w:val="18"/>
                <w:szCs w:val="18"/>
              </w:rPr>
            </w:pPr>
            <w:r>
              <w:rPr>
                <w:sz w:val="18"/>
                <w:szCs w:val="18"/>
              </w:rPr>
              <w:t>Caregiver linked to one or more patients, can view patient information provided with patient consent.</w:t>
            </w:r>
          </w:p>
        </w:tc>
        <w:tc>
          <w:tcPr>
            <w:tcW w:w="13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uppressLineNumbers w:val="0"/>
              <w:bidi w:val="0"/>
              <w:spacing w:lineRule="auto" w:line="240" w:beforeAutospacing="0" w:before="0" w:afterAutospacing="0" w:after="0"/>
              <w:ind w:left="0" w:right="0"/>
              <w:jc w:val="left"/>
              <w:rPr/>
            </w:pPr>
            <w:r>
              <w:rPr>
                <w:sz w:val="18"/>
                <w:szCs w:val="18"/>
              </w:rPr>
              <w:t>Low to Moderate</w:t>
            </w:r>
          </w:p>
        </w:tc>
        <w:tc>
          <w:tcPr>
            <w:tcW w:w="14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uppressLineNumbers w:val="0"/>
              <w:bidi w:val="0"/>
              <w:spacing w:lineRule="auto" w:line="240" w:beforeAutospacing="0" w:before="0" w:afterAutospacing="0" w:after="0"/>
              <w:ind w:left="0" w:right="0"/>
              <w:jc w:val="left"/>
              <w:rPr/>
            </w:pPr>
            <w:r>
              <w:rPr>
                <w:sz w:val="18"/>
                <w:szCs w:val="18"/>
              </w:rPr>
              <w:t>Daily</w:t>
            </w:r>
          </w:p>
        </w:tc>
        <w:tc>
          <w:tcPr>
            <w:tcW w:w="14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uppressLineNumbers w:val="0"/>
              <w:bidi w:val="0"/>
              <w:spacing w:lineRule="auto" w:line="240" w:beforeAutospacing="0" w:before="0" w:afterAutospacing="0" w:after="0"/>
              <w:ind w:left="0" w:right="0"/>
              <w:jc w:val="left"/>
              <w:rPr/>
            </w:pPr>
            <w:r>
              <w:rPr>
                <w:sz w:val="18"/>
                <w:szCs w:val="18"/>
              </w:rPr>
              <w:t>Assigned patients only</w:t>
            </w:r>
          </w:p>
        </w:tc>
        <w:tc>
          <w:tcPr>
            <w:tcW w:w="13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Same as patients</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Professional caregiver</w:t>
            </w:r>
          </w:p>
        </w:tc>
        <w:tc>
          <w:tcPr>
            <w:tcW w:w="21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18"/>
                <w:szCs w:val="18"/>
              </w:rPr>
            </w:pPr>
            <w:r>
              <w:rPr>
                <w:sz w:val="18"/>
                <w:szCs w:val="18"/>
              </w:rPr>
              <w:t>Caregiver linked to one or more patients ,can view patient information provided with patient consent.</w:t>
            </w:r>
          </w:p>
        </w:tc>
        <w:tc>
          <w:tcPr>
            <w:tcW w:w="1300"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Moderate to High</w:t>
            </w:r>
          </w:p>
        </w:tc>
        <w:tc>
          <w:tcPr>
            <w:tcW w:w="1400"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Shift -based</w:t>
            </w:r>
          </w:p>
        </w:tc>
        <w:tc>
          <w:tcPr>
            <w:tcW w:w="14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Assigned caseload</w:t>
            </w:r>
          </w:p>
        </w:tc>
        <w:tc>
          <w:tcPr>
            <w:tcW w:w="1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Same as patients</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Administrator</w:t>
            </w:r>
          </w:p>
        </w:tc>
        <w:tc>
          <w:tcPr>
            <w:tcW w:w="216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CareConnect administrator; should not view sensitive patient information unless specified. Naming is unresolved — see flag note below.</w:t>
            </w:r>
          </w:p>
        </w:tc>
        <w:tc>
          <w:tcPr>
            <w:tcW w:w="13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High</w:t>
            </w:r>
          </w:p>
        </w:tc>
        <w:tc>
          <w:tcPr>
            <w:tcW w:w="14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uppressLineNumbers w:val="0"/>
              <w:bidi w:val="0"/>
              <w:spacing w:lineRule="auto" w:line="240" w:beforeAutospacing="0" w:before="0" w:afterAutospacing="0" w:after="0"/>
              <w:ind w:left="0" w:right="0"/>
              <w:jc w:val="left"/>
              <w:rPr/>
            </w:pPr>
            <w:r>
              <w:rPr>
                <w:sz w:val="18"/>
                <w:szCs w:val="18"/>
              </w:rPr>
              <w:t>Weekly</w:t>
            </w:r>
          </w:p>
        </w:tc>
        <w:tc>
          <w:tcPr>
            <w:tcW w:w="14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Full</w:t>
            </w:r>
          </w:p>
        </w:tc>
        <w:tc>
          <w:tcPr>
            <w:tcW w:w="13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uppressLineNumbers w:val="0"/>
              <w:bidi w:val="0"/>
              <w:spacing w:lineRule="auto" w:line="240" w:beforeAutospacing="0" w:before="0" w:afterAutospacing="0" w:after="0"/>
              <w:ind w:left="0" w:right="0"/>
              <w:jc w:val="left"/>
              <w:rPr/>
            </w:pPr>
            <w:r>
              <w:rPr>
                <w:sz w:val="18"/>
                <w:szCs w:val="18"/>
              </w:rPr>
              <w:t>Same as patients</w:t>
            </w:r>
          </w:p>
        </w:tc>
      </w:tr>
    </w:tbl>
    <w:p>
      <w:pPr>
        <w:pStyle w:val="Normal"/>
        <w:spacing w:before="60" w:after="160"/>
        <w:rPr/>
      </w:pPr>
      <w:r>
        <w:rPr>
          <w:i/>
          <w:iCs/>
        </w:rPr>
        <w:t>Note. The accessibility column exists so Section 11.7 and the VPAT have something concrete to work from.</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cantSplit w:val="true"/>
        </w:trPr>
        <w:tc>
          <w:tcPr>
            <w:tcW w:w="9360" w:type="dxa"/>
            <w:tcBorders>
              <w:top w:val="single" w:sz="4" w:space="0" w:color="000000"/>
              <w:left w:val="single" w:sz="4" w:space="0" w:color="000000"/>
              <w:bottom w:val="single" w:sz="4" w:space="0" w:color="000000"/>
              <w:right w:val="single" w:sz="4" w:space="0" w:color="000000"/>
            </w:tcBorders>
            <w:shd w:color="auto" w:fill="FDF3E0" w:val="clear"/>
          </w:tcPr>
          <w:p>
            <w:pPr>
              <w:pStyle w:val="Normal"/>
              <w:widowControl/>
              <w:bidi w:val="0"/>
              <w:spacing w:lineRule="auto" w:line="276" w:before="0" w:after="130"/>
              <w:jc w:val="left"/>
              <w:rPr/>
            </w:pPr>
            <w:r>
              <w:rPr>
                <w:b w:val="false"/>
                <w:i w:val="false"/>
                <w:sz w:val="19"/>
              </w:rPr>
              <w:t>Flag — not yet resolved. The Aug 15, 2026 requirements-elicitation transcript names this user class “admin”, while a separate notes record of the same meeting instead names two roles, “sysadmin” and “data stewards.” This is the same open user-roster conflict already logged in the PMP Stakeholder Register (SH-10) and the product backlog (BL-022). It is not silently resolved here: the Administrator row above stands for whichever naming the client/product owner confirms, and no functional or non-functional requirement in Section 6 or Section 11 currently distinguishes a sysadmin role from a data-steward role. See Section 3.5 for the tracked open question.</w:t>
            </w:r>
          </w:p>
        </w:tc>
      </w:tr>
    </w:tbl>
    <w:p>
      <w:pPr>
        <w:pStyle w:val="Heading2"/>
        <w:rPr/>
      </w:pPr>
      <w:bookmarkStart w:id="38" w:name="__RefHeading___Toc10302_627777545"/>
      <w:bookmarkStart w:id="39" w:name="_Toc236656524"/>
      <w:bookmarkEnd w:id="38"/>
      <w:r>
        <w:rPr/>
        <w:t>2.5 Operating Environment</w:t>
      </w:r>
      <w:bookmarkEnd w:id="39"/>
    </w:p>
    <w:p>
      <w:pPr>
        <w:pStyle w:val="Normal"/>
        <w:spacing w:before="150" w:after="40"/>
        <w:rPr/>
      </w:pPr>
      <w:r>
        <w:rPr>
          <w:b/>
          <w:bCs/>
        </w:rPr>
        <w:t>Table 11</w:t>
      </w:r>
    </w:p>
    <w:p>
      <w:pPr>
        <w:pStyle w:val="Normal"/>
        <w:spacing w:before="0" w:after="80"/>
        <w:rPr/>
      </w:pPr>
      <w:r>
        <w:rPr>
          <w:i/>
          <w:iCs/>
        </w:rPr>
        <w:t>Operating Environment</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600"/>
        <w:gridCol w:w="4400"/>
        <w:gridCol w:w="2360"/>
      </w:tblGrid>
      <w:tr>
        <w:trPr>
          <w:tblHeader w:val="true"/>
          <w:cantSplit w:val="true"/>
        </w:trPr>
        <w:tc>
          <w:tcPr>
            <w:tcW w:w="26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Element</w:t>
            </w:r>
          </w:p>
        </w:tc>
        <w:tc>
          <w:tcPr>
            <w:tcW w:w="44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Specification</w:t>
            </w:r>
          </w:p>
        </w:tc>
        <w:tc>
          <w:tcPr>
            <w:tcW w:w="23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Minimum Supported</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Mobile platforms</w:t>
            </w:r>
          </w:p>
        </w:tc>
        <w:tc>
          <w:tcPr>
            <w:tcW w:w="4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Flutter/Dart cross-platform client, inherited from the prior cohort. Exact minimum iOS/Android versions not yet pinned by Team Echo.</w:t>
            </w:r>
          </w:p>
        </w:tc>
        <w:tc>
          <w:tcPr>
            <w:tcW w:w="23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Not yet specified</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Browsers, if applicable</w:t>
            </w:r>
          </w:p>
        </w:tc>
        <w:tc>
          <w:tcPr>
            <w:tcW w:w="44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Web frontend exists in the inherited codebase; browser support matrix not yet defined for the Medicare feature.</w:t>
            </w:r>
          </w:p>
        </w:tc>
        <w:tc>
          <w:tcPr>
            <w:tcW w:w="23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Not yet specified</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Device hardware</w:t>
            </w:r>
          </w:p>
        </w:tc>
        <w:tc>
          <w:tcPr>
            <w:tcW w:w="4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No additional hardware access required beyond what the inherited app already uses (no camera/GPS dependency identified for FEAT-01/FEAT-02).</w:t>
            </w:r>
          </w:p>
        </w:tc>
        <w:tc>
          <w:tcPr>
            <w:tcW w:w="23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Not yet specified</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Network conditions</w:t>
            </w:r>
          </w:p>
        </w:tc>
        <w:tc>
          <w:tcPr>
            <w:tcW w:w="44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Must tolerate no-network and slow-network conditions; see FR-MCR-26, FR-MCR-29 (offline indicators) and FR-MCR-23 (retry/backoff on rate limiting).</w:t>
            </w:r>
          </w:p>
        </w:tc>
        <w:tc>
          <w:tcPr>
            <w:tcW w:w="23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Not yet specified</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Cloud platform and region</w:t>
            </w:r>
          </w:p>
        </w:tc>
        <w:tc>
          <w:tcPr>
            <w:tcW w:w="4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AWS — Amplify (frontend hosting/CI-CD), CloudFront (CDN), API Gateway (backend entry point) confirmed per TDD Section 3.4. Backend compute and region not yet decided; Amplify's GitHub third-party access approval is currently blocked (TDD Section 3.7).</w:t>
            </w:r>
          </w:p>
        </w:tc>
        <w:tc>
          <w:tcPr>
            <w:tcW w:w="23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AWS (confirmed); specific services/region partially decided</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Backend runtime and versions</w:t>
            </w:r>
          </w:p>
        </w:tc>
        <w:tc>
          <w:tcPr>
            <w:tcW w:w="44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Java / Spring Boot, inherited from the prior cohort. Exact versions not yet confirmed by Team Echo.</w:t>
            </w:r>
          </w:p>
        </w:tc>
        <w:tc>
          <w:tcPr>
            <w:tcW w:w="23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Not yet specified</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Database engine and version</w:t>
            </w:r>
          </w:p>
        </w:tc>
        <w:tc>
          <w:tcPr>
            <w:tcW w:w="4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Inherited from prior cohort; not yet confirmed by Team Echo for the Medicare feature's data.</w:t>
            </w:r>
          </w:p>
        </w:tc>
        <w:tc>
          <w:tcPr>
            <w:tcW w:w="23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Not yet specified</w:t>
            </w:r>
          </w:p>
        </w:tc>
      </w:tr>
    </w:tbl>
    <w:p>
      <w:pPr>
        <w:pStyle w:val="Normal"/>
        <w:spacing w:before="60" w:after="160"/>
        <w:rPr/>
      </w:pPr>
      <w:r>
        <w:rPr>
          <w:i/>
          <w:iCs/>
        </w:rPr>
        <w:t>Note. Pin versions. A requirement that depends on an unspecified platform version cannot be tested.</w:t>
      </w:r>
    </w:p>
    <w:p>
      <w:pPr>
        <w:pStyle w:val="Heading2"/>
        <w:rPr/>
      </w:pPr>
      <w:bookmarkStart w:id="40" w:name="__RefHeading___Toc10304_627777545"/>
      <w:bookmarkStart w:id="41" w:name="_Toc236656525"/>
      <w:bookmarkEnd w:id="40"/>
      <w:r>
        <w:rPr/>
        <w:t>2.6 Design and Implementation Constraints</w:t>
      </w:r>
      <w:bookmarkEnd w:id="41"/>
    </w:p>
    <w:p>
      <w:pPr>
        <w:pStyle w:val="ListParagraph"/>
        <w:numPr>
          <w:ilvl w:val="0"/>
          <w:numId w:val="3"/>
        </w:numPr>
        <w:rPr/>
      </w:pPr>
      <w:r>
        <w:rPr/>
        <w:t>Inherited technology stack from previous cohorts: Dart/flutter front end, Java/Spring boot back end. AWS cloud infrastructure</w:t>
      </w:r>
    </w:p>
    <w:p>
      <w:pPr>
        <w:pStyle w:val="ListParagraph"/>
        <w:numPr>
          <w:ilvl w:val="0"/>
          <w:numId w:val="2"/>
        </w:numPr>
        <w:rPr/>
      </w:pPr>
      <w:r>
        <w:rPr/>
        <w:t xml:space="preserve">Medicare API limitations like rate limited and scheduled down time windows. </w:t>
      </w:r>
    </w:p>
    <w:p>
      <w:pPr>
        <w:pStyle w:val="ListParagraph"/>
        <w:numPr>
          <w:ilvl w:val="0"/>
          <w:numId w:val="1"/>
        </w:numPr>
        <w:rPr/>
      </w:pPr>
      <w:r>
        <w:rPr/>
        <w:t xml:space="preserve">Client desire to use all applicable Medicare APIs. </w:t>
      </w:r>
    </w:p>
    <w:p>
      <w:pPr>
        <w:pStyle w:val="ListParagraph"/>
        <w:numPr>
          <w:ilvl w:val="0"/>
          <w:numId w:val="1"/>
        </w:numPr>
        <w:rPr/>
      </w:pPr>
      <w:r>
        <w:rPr/>
        <w:t>HIPAA constraints do not apply, but data collection policy should be made with care.</w:t>
      </w:r>
      <w:r>
        <w:rPr>
          <w:i/>
        </w:rPr>
        <w:t xml:space="preserve"> Flag — not yet resolved: this statement follows the Aug 15, 2026 client meeting transcript, where the client questioned HIPAA applicability (“HIPAA doesn't apply? Be careful”). A separate notes record of the same meeting instead asserts that HIPAA and Privacy Act compliance will be followed. This SRS does not pick a side; both readings are carried forward until the client/product owner confirms one. See Section 2.7 (AS-03) and Section 11.6 for the full disposition.</w:t>
      </w:r>
    </w:p>
    <w:p>
      <w:pPr>
        <w:pStyle w:val="Normal"/>
        <w:rPr/>
      </w:pPr>
      <w:r>
        <w:rPr/>
      </w:r>
    </w:p>
    <w:p>
      <w:pPr>
        <w:pStyle w:val="Heading2"/>
        <w:rPr/>
      </w:pPr>
      <w:r>
        <w:rPr/>
      </w:r>
    </w:p>
    <w:p>
      <w:pPr>
        <w:pStyle w:val="Heading2"/>
        <w:rPr/>
      </w:pPr>
      <w:r>
        <w:rPr/>
      </w:r>
    </w:p>
    <w:p>
      <w:pPr>
        <w:pStyle w:val="Heading2"/>
        <w:rPr/>
      </w:pPr>
      <w:r>
        <w:rPr/>
      </w:r>
    </w:p>
    <w:p>
      <w:pPr>
        <w:pStyle w:val="Heading2"/>
        <w:rPr/>
      </w:pPr>
      <w:r>
        <w:rPr/>
      </w:r>
    </w:p>
    <w:p>
      <w:pPr>
        <w:pStyle w:val="Heading2"/>
        <w:rPr/>
      </w:pPr>
      <w:bookmarkStart w:id="42" w:name="__RefHeading___Toc10306_627777545"/>
      <w:bookmarkStart w:id="43" w:name="_Toc236656526"/>
      <w:bookmarkEnd w:id="42"/>
      <w:r>
        <w:rPr/>
        <w:t>2.7 Assumptions</w:t>
      </w:r>
      <w:bookmarkEnd w:id="43"/>
    </w:p>
    <w:p>
      <w:pPr>
        <w:pStyle w:val="Normal"/>
        <w:spacing w:before="150" w:after="40"/>
        <w:rPr/>
      </w:pPr>
      <w:r>
        <w:rPr>
          <w:b/>
          <w:bCs/>
        </w:rPr>
        <w:t>Table 12</w:t>
      </w:r>
    </w:p>
    <w:p>
      <w:pPr>
        <w:pStyle w:val="Normal"/>
        <w:spacing w:before="0" w:after="80"/>
        <w:rPr/>
      </w:pPr>
      <w:r>
        <w:rPr>
          <w:i/>
          <w:iCs/>
        </w:rPr>
        <w:t>Assumptions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700"/>
        <w:gridCol w:w="2199"/>
        <w:gridCol w:w="1701"/>
        <w:gridCol w:w="2099"/>
        <w:gridCol w:w="1402"/>
        <w:gridCol w:w="1258"/>
      </w:tblGrid>
      <w:tr>
        <w:trPr>
          <w:tblHeader w:val="true"/>
          <w:cantSplit w:val="true"/>
        </w:trPr>
        <w:tc>
          <w:tcPr>
            <w:tcW w:w="7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ID</w:t>
            </w:r>
          </w:p>
        </w:tc>
        <w:tc>
          <w:tcPr>
            <w:tcW w:w="219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Assumption</w:t>
            </w:r>
          </w:p>
        </w:tc>
        <w:tc>
          <w:tcPr>
            <w:tcW w:w="170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Basis</w:t>
            </w:r>
          </w:p>
        </w:tc>
        <w:tc>
          <w:tcPr>
            <w:tcW w:w="209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How it will be validated</w:t>
            </w:r>
          </w:p>
        </w:tc>
        <w:tc>
          <w:tcPr>
            <w:tcW w:w="140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Status</w:t>
            </w:r>
          </w:p>
        </w:tc>
        <w:tc>
          <w:tcPr>
            <w:tcW w:w="125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Risk if false</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AS-01</w:t>
            </w:r>
          </w:p>
        </w:tc>
        <w:tc>
          <w:tcPr>
            <w:tcW w:w="2199"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sz w:val="18"/>
                <w:szCs w:val="18"/>
              </w:rPr>
            </w:pPr>
            <w:r>
              <w:rPr>
                <w:sz w:val="18"/>
                <w:szCs w:val="18"/>
              </w:rPr>
              <w:t>Medicare’s authentication flow is redirect-based. The user will authenticate on a Medicare-hosted page and Medicare will return a token for CareConnect to utilize on following calls. CareConnect should not interface with the users password information.</w:t>
            </w:r>
          </w:p>
        </w:tc>
        <w:tc>
          <w:tcPr>
            <w:tcW w:w="1701"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SRC-01</w:t>
            </w:r>
          </w:p>
        </w:tc>
        <w:tc>
          <w:tcPr>
            <w:tcW w:w="2099"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Confirm exact token flow during Medicare API sandbox research.</w:t>
            </w:r>
          </w:p>
        </w:tc>
        <w:tc>
          <w:tcPr>
            <w:tcW w:w="1402"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Open</w:t>
            </w:r>
          </w:p>
        </w:tc>
        <w:tc>
          <w:tcPr>
            <w:tcW w:w="1258"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RSK-01 – authentication and data design would need a rework</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AS-02</w:t>
            </w:r>
          </w:p>
        </w:tc>
        <w:tc>
          <w:tcPr>
            <w:tcW w:w="21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A prebuilt FHIR-R4 package available on pub.dev can represent information stored in Medicare</w:t>
            </w:r>
          </w:p>
        </w:tc>
        <w:tc>
          <w:tcPr>
            <w:tcW w:w="170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uppressLineNumbers w:val="0"/>
              <w:bidi w:val="0"/>
              <w:spacing w:lineRule="auto" w:line="240" w:beforeAutospacing="0" w:before="0" w:afterAutospacing="0" w:after="0"/>
              <w:ind w:left="0" w:right="0"/>
              <w:jc w:val="left"/>
              <w:rPr/>
            </w:pPr>
            <w:r>
              <w:rPr>
                <w:sz w:val="18"/>
                <w:szCs w:val="18"/>
              </w:rPr>
              <w:t>SRC-01</w:t>
            </w:r>
          </w:p>
        </w:tc>
        <w:tc>
          <w:tcPr>
            <w:tcW w:w="20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Evaluate the specific package information with Medicare’s response schema while working with the sandbox.</w:t>
            </w:r>
          </w:p>
        </w:tc>
        <w:tc>
          <w:tcPr>
            <w:tcW w:w="140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Open</w:t>
            </w:r>
          </w:p>
        </w:tc>
        <w:tc>
          <w:tcPr>
            <w:tcW w:w="125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RSK-02 – Data model rework if package does not match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AS-03</w:t>
            </w:r>
          </w:p>
        </w:tc>
        <w:tc>
          <w:tcPr>
            <w:tcW w:w="2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18"/>
                <w:szCs w:val="18"/>
              </w:rPr>
            </w:pPr>
            <w:r>
              <w:rPr>
                <w:b w:val="false"/>
                <w:i w:val="false"/>
                <w:sz w:val="17"/>
              </w:rPr>
              <w:t>HIPAA does not apply to CareConnect's handling of Medicare-derived data, on the basis that the team works only with sandbox/synthetic Medicare data and the product is not itself a covered entity. This assumption is disputed — see the flag note in Section 2.6.</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Aug 15, 2026 meeting transcript; team constraint recorded in Section 2.6</w:t>
            </w:r>
          </w:p>
        </w:tc>
        <w:tc>
          <w:tcPr>
            <w:tcW w:w="20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Confirm with the client/product owner (course instructors) before Section 11.6 is baselined. A formal legal or compliance determination is out of scope for this course.</w:t>
            </w:r>
          </w:p>
        </w:tc>
        <w:tc>
          <w:tcPr>
            <w:tcW w:w="1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Open — disputed</w:t>
            </w:r>
          </w:p>
        </w:tc>
        <w:tc>
          <w:tcPr>
            <w:tcW w:w="12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If HIPAA is later found to apply, the security, consent, and audit-logging requirements in Sections 11.5–11.6 would need substantial rework.</w:t>
            </w:r>
          </w:p>
        </w:tc>
      </w:tr>
    </w:tbl>
    <w:p>
      <w:pPr>
        <w:pStyle w:val="Normal"/>
        <w:spacing w:before="60" w:after="160"/>
        <w:rPr/>
      </w:pPr>
      <w:r>
        <w:rPr>
          <w:i/>
          <w:iCs/>
        </w:rPr>
        <w:t>Note. An assumption with no validation method is a hidden risk. Move invalidated assumptions to Section 13.</w:t>
      </w:r>
    </w:p>
    <w:p>
      <w:pPr>
        <w:pStyle w:val="Heading2"/>
        <w:rPr/>
      </w:pPr>
      <w:bookmarkStart w:id="44" w:name="__RefHeading___Toc10308_627777545"/>
      <w:bookmarkStart w:id="45" w:name="_Toc236656527"/>
      <w:bookmarkEnd w:id="44"/>
      <w:r>
        <w:rPr/>
        <w:t>2.8 Dependencies</w:t>
      </w:r>
      <w:bookmarkEnd w:id="45"/>
    </w:p>
    <w:p>
      <w:pPr>
        <w:pStyle w:val="Normal"/>
        <w:spacing w:before="150" w:after="40"/>
        <w:rPr/>
      </w:pPr>
      <w:r>
        <w:rPr>
          <w:b/>
          <w:bCs/>
        </w:rPr>
        <w:t>Table 13</w:t>
      </w:r>
    </w:p>
    <w:p>
      <w:pPr>
        <w:pStyle w:val="Normal"/>
        <w:spacing w:before="0" w:after="80"/>
        <w:rPr/>
      </w:pPr>
      <w:r>
        <w:rPr>
          <w:i/>
          <w:iCs/>
        </w:rPr>
        <w:t>External Dependencies</w:t>
      </w:r>
    </w:p>
    <w:p>
      <w:pPr>
        <w:pStyle w:val="Normal"/>
        <w:spacing w:before="0" w:after="80"/>
        <w:rPr>
          <w:i/>
          <w:i/>
          <w:iCs/>
        </w:rPr>
      </w:pPr>
      <w:r>
        <w:rPr>
          <w:i/>
          <w:iCs/>
        </w:rPr>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700"/>
        <w:gridCol w:w="3000"/>
        <w:gridCol w:w="1699"/>
        <w:gridCol w:w="1200"/>
        <w:gridCol w:w="1602"/>
        <w:gridCol w:w="1158"/>
      </w:tblGrid>
      <w:tr>
        <w:trPr>
          <w:tblHeader w:val="true"/>
          <w:cantSplit w:val="true"/>
        </w:trPr>
        <w:tc>
          <w:tcPr>
            <w:tcW w:w="7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ID</w:t>
            </w:r>
          </w:p>
        </w:tc>
        <w:tc>
          <w:tcPr>
            <w:tcW w:w="30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Dependency</w:t>
            </w:r>
          </w:p>
        </w:tc>
        <w:tc>
          <w:tcPr>
            <w:tcW w:w="169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Provider</w:t>
            </w:r>
          </w:p>
        </w:tc>
        <w:tc>
          <w:tcPr>
            <w:tcW w:w="12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Needed by</w:t>
            </w:r>
          </w:p>
        </w:tc>
        <w:tc>
          <w:tcPr>
            <w:tcW w:w="160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Requirements affected</w:t>
            </w:r>
          </w:p>
        </w:tc>
        <w:tc>
          <w:tcPr>
            <w:tcW w:w="115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Status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DE-01</w:t>
            </w:r>
          </w:p>
        </w:tc>
        <w:tc>
          <w:tcPr>
            <w:tcW w:w="3000"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CMS Blue Button API Sandbox</w:t>
            </w:r>
          </w:p>
        </w:tc>
        <w:tc>
          <w:tcPr>
            <w:tcW w:w="1699"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CMS / Max Stine</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8/26/2026</w:t>
            </w:r>
          </w:p>
        </w:tc>
        <w:tc>
          <w:tcPr>
            <w:tcW w:w="16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All FR-MCR (see OQ-03)</w:t>
            </w:r>
          </w:p>
        </w:tc>
        <w:tc>
          <w:tcPr>
            <w:tcW w:w="1158"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Confirmed</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DE-02</w:t>
            </w:r>
          </w:p>
        </w:tc>
        <w:tc>
          <w:tcPr>
            <w:tcW w:w="30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Cross-team agreement on shared architecture across separate EHS services</w:t>
            </w:r>
          </w:p>
        </w:tc>
        <w:tc>
          <w:tcPr>
            <w:tcW w:w="16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uppressLineNumbers w:val="0"/>
              <w:bidi w:val="0"/>
              <w:spacing w:lineRule="auto" w:line="240" w:beforeAutospacing="0" w:before="0" w:afterAutospacing="0" w:after="0"/>
              <w:ind w:left="0" w:right="0"/>
              <w:jc w:val="left"/>
              <w:rPr/>
            </w:pPr>
            <w:r>
              <w:rPr>
                <w:sz w:val="18"/>
                <w:szCs w:val="18"/>
              </w:rPr>
              <w:t>Other CareConnect teams / Lead Architect Designer</w:t>
            </w:r>
          </w:p>
        </w:tc>
        <w:tc>
          <w:tcPr>
            <w:tcW w:w="12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M2 (needed before FEAT-03 work begins)</w:t>
            </w:r>
          </w:p>
        </w:tc>
        <w:tc>
          <w:tcPr>
            <w:tcW w:w="160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7"/>
              </w:rPr>
              <w:t>All FR-XSRC (see OQ-04)</w:t>
            </w:r>
          </w:p>
        </w:tc>
        <w:tc>
          <w:tcPr>
            <w:tcW w:w="115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Pending</w:t>
            </w:r>
          </w:p>
        </w:tc>
      </w:tr>
    </w:tbl>
    <w:p>
      <w:pPr>
        <w:pStyle w:val="Normal"/>
        <w:spacing w:before="60" w:after="160"/>
        <w:rPr/>
      </w:pPr>
      <w:r>
        <w:rPr>
          <w:i/>
          <w:iCs/>
        </w:rPr>
        <w:t>Note. Name a person for each dependency, not just an organization.</w:t>
      </w:r>
    </w:p>
    <w:p>
      <w:pPr>
        <w:pStyle w:val="Heading1"/>
        <w:rPr/>
      </w:pPr>
      <w:bookmarkStart w:id="46" w:name="__RefHeading___Toc10310_627777545"/>
      <w:bookmarkStart w:id="47" w:name="_Toc236656528"/>
      <w:bookmarkEnd w:id="46"/>
      <w:r>
        <w:rPr/>
        <w:t>3. Stakeholders and Requirements Elicitation</w:t>
      </w:r>
      <w:bookmarkEnd w:id="47"/>
    </w:p>
    <w:p>
      <w:pPr>
        <w:pStyle w:val="Normal"/>
        <w:rPr/>
      </w:pPr>
      <w:r>
        <w:rPr/>
        <w:t>The syllabus requires teams to work with the client to gather requirements and to keep gathering them as the project advances. This section is the evidence that this happened.</w:t>
      </w:r>
    </w:p>
    <w:p>
      <w:pPr>
        <w:pStyle w:val="Heading2"/>
        <w:rPr/>
      </w:pPr>
      <w:bookmarkStart w:id="48" w:name="__RefHeading___Toc10312_627777545"/>
      <w:bookmarkStart w:id="49" w:name="_Toc236656529"/>
      <w:bookmarkEnd w:id="48"/>
      <w:r>
        <w:rPr/>
        <w:t>3.1 Stakeholder Register</w:t>
      </w:r>
      <w:bookmarkEnd w:id="49"/>
    </w:p>
    <w:p>
      <w:pPr>
        <w:pStyle w:val="Normal"/>
        <w:spacing w:before="150" w:after="40"/>
        <w:rPr/>
      </w:pPr>
      <w:r>
        <w:rPr>
          <w:b/>
          <w:bCs/>
        </w:rPr>
        <w:t>Table 14</w:t>
      </w:r>
    </w:p>
    <w:p>
      <w:pPr>
        <w:pStyle w:val="Normal"/>
        <w:spacing w:before="0" w:after="80"/>
        <w:rPr/>
      </w:pPr>
      <w:r>
        <w:rPr>
          <w:i/>
          <w:iCs/>
        </w:rPr>
        <w:t>Stakeholder Register</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700"/>
        <w:gridCol w:w="1900"/>
        <w:gridCol w:w="2359"/>
        <w:gridCol w:w="1200"/>
        <w:gridCol w:w="1700"/>
        <w:gridCol w:w="1500"/>
      </w:tblGrid>
      <w:tr>
        <w:trPr>
          <w:tblHeader w:val="true"/>
          <w:cantSplit w:val="true"/>
        </w:trPr>
        <w:tc>
          <w:tcPr>
            <w:tcW w:w="7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ID</w:t>
            </w:r>
          </w:p>
        </w:tc>
        <w:tc>
          <w:tcPr>
            <w:tcW w:w="19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Stakeholder</w:t>
            </w:r>
          </w:p>
        </w:tc>
        <w:tc>
          <w:tcPr>
            <w:tcW w:w="235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Role in requirements</w:t>
            </w:r>
          </w:p>
        </w:tc>
        <w:tc>
          <w:tcPr>
            <w:tcW w:w="12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Authority</w:t>
            </w:r>
          </w:p>
        </w:tc>
        <w:tc>
          <w:tcPr>
            <w:tcW w:w="17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Engagement method</w:t>
            </w:r>
          </w:p>
        </w:tc>
        <w:tc>
          <w:tcPr>
            <w:tcW w:w="15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Cadence</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SH-01</w:t>
            </w:r>
          </w:p>
        </w:tc>
        <w:tc>
          <w:tcPr>
            <w:tcW w:w="19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Course instructors (Prof. Assadullah, rubric owner; Prof. Minagar, instructor of record)</w:t>
            </w:r>
          </w:p>
        </w:tc>
        <w:tc>
          <w:tcPr>
            <w:tcW w:w="235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Accepts and grades deliverables against the rubric</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Approves</w:t>
            </w:r>
          </w:p>
        </w:tc>
        <w:tc>
          <w:tcPr>
            <w:tcW w:w="1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Milestone review, rubric feedback</w:t>
            </w:r>
          </w:p>
        </w:tc>
        <w:tc>
          <w:tcPr>
            <w:tcW w:w="15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4 times (once per milestone)</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SH-02</w:t>
            </w:r>
          </w:p>
        </w:tc>
        <w:tc>
          <w:tcPr>
            <w:tcW w:w="19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Client / Product Owner (represented by the course instructors in the Aug 15, 2026 requirements meeting)</w:t>
            </w:r>
          </w:p>
        </w:tc>
        <w:tc>
          <w:tcPr>
            <w:tcW w:w="235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Approves scope and priorities, clarifies intended behavior</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Decides</w:t>
            </w:r>
          </w:p>
        </w:tc>
        <w:tc>
          <w:tcPr>
            <w:tcW w:w="1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Requirements elicitation meetings</w:t>
            </w:r>
          </w:p>
        </w:tc>
        <w:tc>
          <w:tcPr>
            <w:tcW w:w="15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At least once per milestone</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SH-03</w:t>
            </w:r>
          </w:p>
        </w:tc>
        <w:tc>
          <w:tcPr>
            <w:tcW w:w="19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Team Echo (Rich, Kris, Shayne, Max, Abel, Camilla, Crystal; Quinton inactive)</w:t>
            </w:r>
          </w:p>
        </w:tc>
        <w:tc>
          <w:tcPr>
            <w:tcW w:w="235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Elicits, drafts, and implements requirements</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Proposes</w:t>
            </w:r>
          </w:p>
        </w:tc>
        <w:tc>
          <w:tcPr>
            <w:tcW w:w="1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Team collaboration tool</w:t>
            </w:r>
          </w:p>
        </w:tc>
        <w:tc>
          <w:tcPr>
            <w:tcW w:w="15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Continuous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SH-04</w:t>
            </w:r>
          </w:p>
        </w:tc>
        <w:tc>
          <w:tcPr>
            <w:tcW w:w="19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Patients / Medicare beneficiaries</w:t>
            </w:r>
          </w:p>
        </w:tc>
        <w:tc>
          <w:tcPr>
            <w:tcW w:w="235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Validate that retrieved Medicare information is understandable and useful</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Consulted</w:t>
            </w:r>
          </w:p>
        </w:tc>
        <w:tc>
          <w:tcPr>
            <w:tcW w:w="1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Represented via User Needs Analysis personas P-01/P-02; direct usability sessions once a design exists</w:t>
            </w:r>
          </w:p>
        </w:tc>
        <w:tc>
          <w:tcPr>
            <w:tcW w:w="15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Per milestone, once there is something to validate</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SH-05</w:t>
            </w:r>
          </w:p>
        </w:tc>
        <w:tc>
          <w:tcPr>
            <w:tcW w:w="19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Caregivers / family members</w:t>
            </w:r>
          </w:p>
        </w:tc>
        <w:tc>
          <w:tcPr>
            <w:tcW w:w="235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Validate delegated access and sharing behavior</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Consulted</w:t>
            </w:r>
          </w:p>
        </w:tc>
        <w:tc>
          <w:tcPr>
            <w:tcW w:w="1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Represented via persona P-03; user acceptance testing once caregiver flows are built</w:t>
            </w:r>
          </w:p>
        </w:tc>
        <w:tc>
          <w:tcPr>
            <w:tcW w:w="15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Per milestone</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SH-06</w:t>
            </w:r>
          </w:p>
        </w:tc>
        <w:tc>
          <w:tcPr>
            <w:tcW w:w="19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Clinicians / care coordinators ("providers")</w:t>
            </w:r>
          </w:p>
        </w:tc>
        <w:tc>
          <w:tcPr>
            <w:tcW w:w="235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Validate the clinician dashboard view of Medicare data (M2+)</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Consulted</w:t>
            </w:r>
          </w:p>
        </w:tc>
        <w:tc>
          <w:tcPr>
            <w:tcW w:w="1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Represented via personas P-04/P-05; no direct Milestone 1 engagement channel</w:t>
            </w:r>
          </w:p>
        </w:tc>
        <w:tc>
          <w:tcPr>
            <w:tcW w:w="15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Not yet scheduled</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SH-07</w:t>
            </w:r>
          </w:p>
        </w:tc>
        <w:tc>
          <w:tcPr>
            <w:tcW w:w="19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Medicare (CMS Blue Button 2.0 API) and the AWS platform</w:t>
            </w:r>
          </w:p>
        </w:tc>
        <w:tc>
          <w:tcPr>
            <w:tcW w:w="235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Gate delivery independent of team effort: sandbox access, rate limits, GitHub app approval</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Blocks (non-negotiable technical gate)</w:t>
            </w:r>
          </w:p>
        </w:tc>
        <w:tc>
          <w:tcPr>
            <w:tcW w:w="1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Access and sandbox requests</w:t>
            </w:r>
          </w:p>
        </w:tc>
        <w:tc>
          <w:tcPr>
            <w:tcW w:w="15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As needed; tracked as OQ-03 and the Amplify GitHub-approval risk (TDD Section 3.7)</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SH-08</w:t>
            </w:r>
          </w:p>
        </w:tc>
        <w:tc>
          <w:tcPr>
            <w:tcW w:w="19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Peer cohort test team (other course teams exchanging builds each milestone)</w:t>
            </w:r>
          </w:p>
        </w:tc>
        <w:tc>
          <w:tcPr>
            <w:tcW w:w="235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Owns the peer EHR interfaces (Epic / Aetna / Oracle Health) needed for cross-source reconciliation</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Consulted</w:t>
            </w:r>
          </w:p>
        </w:tc>
        <w:tc>
          <w:tcPr>
            <w:tcW w:w="1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Cross-team build exchange</w:t>
            </w:r>
          </w:p>
        </w:tc>
        <w:tc>
          <w:tcPr>
            <w:tcW w:w="15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Per milestone</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SH-09</w:t>
            </w:r>
          </w:p>
        </w:tc>
        <w:tc>
          <w:tcPr>
            <w:tcW w:w="19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CareConnect internal staff — named "admin" (transcript) versus "sysadmin" / "data stewards" (notes); see flag note below</w:t>
            </w:r>
          </w:p>
        </w:tc>
        <w:tc>
          <w:tcPr>
            <w:tcW w:w="235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Data governance and access control over Medicare-derived data</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Consulted (pending role clarification)</w:t>
            </w:r>
          </w:p>
        </w:tc>
        <w:tc>
          <w:tcPr>
            <w:tcW w:w="1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Represented indirectly through the existing SecurityConfig/Role design</w:t>
            </w:r>
          </w:p>
        </w:tc>
        <w:tc>
          <w:tcPr>
            <w:tcW w:w="15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Not yet scheduled</w:t>
            </w:r>
          </w:p>
        </w:tc>
      </w:tr>
    </w:tbl>
    <w:p>
      <w:pPr>
        <w:pStyle w:val="Normal"/>
        <w:spacing w:before="60" w:after="160"/>
        <w:rPr/>
      </w:pPr>
      <w:r>
        <w:rPr>
          <w:i/>
          <w:iCs/>
        </w:rPr>
        <w:t>Note. Only stakeholders with Decides authority can approve a requirement change.</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cantSplit w:val="true"/>
        </w:trPr>
        <w:tc>
          <w:tcPr>
            <w:tcW w:w="9360" w:type="dxa"/>
            <w:tcBorders>
              <w:top w:val="single" w:sz="4" w:space="0" w:color="000000"/>
              <w:left w:val="single" w:sz="4" w:space="0" w:color="000000"/>
              <w:bottom w:val="single" w:sz="4" w:space="0" w:color="000000"/>
              <w:right w:val="single" w:sz="4" w:space="0" w:color="000000"/>
            </w:tcBorders>
            <w:shd w:color="auto" w:fill="FDF3E0" w:val="clear"/>
          </w:tcPr>
          <w:p>
            <w:pPr>
              <w:pStyle w:val="Normal"/>
              <w:widowControl/>
              <w:bidi w:val="0"/>
              <w:spacing w:lineRule="auto" w:line="276" w:before="0" w:after="130"/>
              <w:jc w:val="left"/>
              <w:rPr/>
            </w:pPr>
            <w:r>
              <w:rPr>
                <w:b w:val="false"/>
                <w:i w:val="false"/>
                <w:sz w:val="19"/>
              </w:rPr>
              <w:t>Flag — not yet resolved. SH-09's exact composition is unresolved: the Aug 15, 2026 requirements-elicitation transcript names “admin” as a primary user, while a separate notes record of the same meeting names “sysadmin” and “data stewards” instead. This is the same conflict already logged against the User Classes table (Section 2.4), the PMP Stakeholder Register (SH-10), and the product backlog (BL-022), and is tracked as OQ-08 (Section 3.5).</w:t>
            </w:r>
          </w:p>
        </w:tc>
      </w:tr>
    </w:tbl>
    <w:p>
      <w:pPr>
        <w:pStyle w:val="Heading2"/>
        <w:rPr/>
      </w:pPr>
      <w:bookmarkStart w:id="50" w:name="__RefHeading___Toc10314_627777545"/>
      <w:bookmarkStart w:id="51" w:name="_Toc236656530"/>
      <w:bookmarkEnd w:id="50"/>
      <w:r>
        <w:rPr/>
        <w:t>3.2 Client Engagement Log</w:t>
      </w:r>
      <w:bookmarkEnd w:id="51"/>
    </w:p>
    <w:p>
      <w:pPr>
        <w:pStyle w:val="Normal"/>
        <w:spacing w:before="150" w:after="40"/>
        <w:rPr/>
      </w:pPr>
      <w:r>
        <w:rPr>
          <w:b/>
          <w:bCs/>
        </w:rPr>
        <w:t>Table 15</w:t>
      </w:r>
    </w:p>
    <w:p>
      <w:pPr>
        <w:pStyle w:val="Normal"/>
        <w:spacing w:before="0" w:after="80"/>
        <w:rPr/>
      </w:pPr>
      <w:r>
        <w:rPr>
          <w:i/>
          <w:iCs/>
        </w:rPr>
        <w:t>Client Engagement Log</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800"/>
        <w:gridCol w:w="1100"/>
        <w:gridCol w:w="1800"/>
        <w:gridCol w:w="1500"/>
        <w:gridCol w:w="2659"/>
        <w:gridCol w:w="1500"/>
      </w:tblGrid>
      <w:tr>
        <w:trPr>
          <w:tblHeader w:val="true"/>
          <w:cantSplit w:val="true"/>
        </w:trPr>
        <w:tc>
          <w:tcPr>
            <w:tcW w:w="8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ID</w:t>
            </w:r>
          </w:p>
        </w:tc>
        <w:tc>
          <w:tcPr>
            <w:tcW w:w="11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Date</w:t>
            </w:r>
          </w:p>
        </w:tc>
        <w:tc>
          <w:tcPr>
            <w:tcW w:w="18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Participants</w:t>
            </w:r>
          </w:p>
        </w:tc>
        <w:tc>
          <w:tcPr>
            <w:tcW w:w="15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Topic</w:t>
            </w:r>
          </w:p>
        </w:tc>
        <w:tc>
          <w:tcPr>
            <w:tcW w:w="265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Decisions and clarifications</w:t>
            </w:r>
          </w:p>
        </w:tc>
        <w:tc>
          <w:tcPr>
            <w:tcW w:w="15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Requirements affected</w:t>
            </w:r>
          </w:p>
        </w:tc>
      </w:tr>
      <w:tr>
        <w:trPr>
          <w:cantSplit w:val="true"/>
        </w:trPr>
        <w:tc>
          <w:tcPr>
            <w:tcW w:w="8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SRC-01</w:t>
            </w:r>
          </w:p>
        </w:tc>
        <w:tc>
          <w:tcPr>
            <w:tcW w:w="1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Aug 15. 2026</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Client and Team members.</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Initial requirements</w:t>
            </w:r>
          </w:p>
        </w:tc>
        <w:tc>
          <w:tcPr>
            <w:tcW w:w="2659"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sz w:val="18"/>
                <w:szCs w:val="18"/>
              </w:rPr>
            </w:pPr>
            <w:r>
              <w:rPr>
                <w:sz w:val="18"/>
                <w:szCs w:val="18"/>
              </w:rPr>
              <w:t>Clarified Medicare’s token-based auth model and expected API coverage. Mentioned use of prebuild FHIR package and implementation of dynamic data sharing. Specified system data flow only retrieves information from Medicare.</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Established SRC-01 as the source for the FEAT-01/FEAT-02 requirements (FR-MCR-01–FR-MCR-29) and the FEAT-03 match rule (FR-XSRC-01); see Section 6.</w:t>
            </w:r>
          </w:p>
        </w:tc>
      </w:tr>
    </w:tbl>
    <w:p>
      <w:pPr>
        <w:pStyle w:val="Normal"/>
        <w:spacing w:before="60" w:after="160"/>
        <w:rPr/>
      </w:pPr>
      <w:r>
        <w:rPr>
          <w:i/>
          <w:iCs/>
        </w:rPr>
        <w:t>Note. Every client meeting gets a row, including meetings that produced no change. This log is the backward half of traceability.</w:t>
      </w:r>
    </w:p>
    <w:p>
      <w:pPr>
        <w:pStyle w:val="Normal"/>
        <w:rPr/>
      </w:pPr>
      <w:r>
        <w:rPr>
          <w:b w:val="false"/>
          <w:i/>
        </w:rPr>
        <w:t>As of this draft, Team Echo has held one client requirements meeting (Aug 15, 2026). No further client meetings have occurred; additional rows will be added as they happen rather than left as placeholder rows here.</w:t>
      </w:r>
    </w:p>
    <w:p>
      <w:pPr>
        <w:pStyle w:val="Heading2"/>
        <w:rPr/>
      </w:pPr>
      <w:bookmarkStart w:id="52" w:name="__RefHeading___Toc10316_627777545"/>
      <w:bookmarkStart w:id="53" w:name="_Toc236656531"/>
      <w:bookmarkEnd w:id="52"/>
      <w:r>
        <w:rPr/>
        <w:t>3.3 Requirement Source Register</w:t>
      </w:r>
      <w:bookmarkEnd w:id="53"/>
    </w:p>
    <w:p>
      <w:pPr>
        <w:pStyle w:val="Normal"/>
        <w:spacing w:before="150" w:after="40"/>
        <w:rPr/>
      </w:pPr>
      <w:r>
        <w:rPr>
          <w:b/>
          <w:bCs/>
        </w:rPr>
        <w:t>Table 16</w:t>
      </w:r>
    </w:p>
    <w:p>
      <w:pPr>
        <w:pStyle w:val="Normal"/>
        <w:spacing w:before="0" w:after="80"/>
        <w:rPr/>
      </w:pPr>
      <w:r>
        <w:rPr>
          <w:i/>
          <w:iCs/>
        </w:rPr>
        <w:t>Permitted Requirement Sources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199"/>
        <w:gridCol w:w="2801"/>
        <w:gridCol w:w="3000"/>
        <w:gridCol w:w="2359"/>
      </w:tblGrid>
      <w:tr>
        <w:trPr>
          <w:tblHeader w:val="true"/>
          <w:cantSplit w:val="true"/>
        </w:trPr>
        <w:tc>
          <w:tcPr>
            <w:tcW w:w="11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Source ID</w:t>
            </w:r>
          </w:p>
        </w:tc>
        <w:tc>
          <w:tcPr>
            <w:tcW w:w="28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Source type</w:t>
            </w:r>
          </w:p>
        </w:tc>
        <w:tc>
          <w:tcPr>
            <w:tcW w:w="3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Example</w:t>
            </w:r>
          </w:p>
        </w:tc>
        <w:tc>
          <w:tcPr>
            <w:tcW w:w="235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Evidence required</w:t>
            </w:r>
          </w:p>
        </w:tc>
      </w:tr>
      <w:tr>
        <w:trPr>
          <w:cantSplit w:val="true"/>
        </w:trPr>
        <w:tc>
          <w:tcPr>
            <w:tcW w:w="1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SRC-nn</w:t>
            </w:r>
          </w:p>
        </w:tc>
        <w:tc>
          <w:tcPr>
            <w:tcW w:w="28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Client meeting or written request</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SRC-01 — Aug 15, 2026 client requirements meeting (Table 15)</w:t>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Log entry in Table 15</w:t>
            </w:r>
          </w:p>
        </w:tc>
      </w:tr>
      <w:tr>
        <w:trPr>
          <w:cantSplit w:val="true"/>
        </w:trPr>
        <w:tc>
          <w:tcPr>
            <w:tcW w:w="1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INH-nn</w:t>
            </w:r>
          </w:p>
        </w:tc>
        <w:tc>
          <w:tcPr>
            <w:tcW w:w="28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Inherited artifact from a prior cohort</w:t>
            </w:r>
          </w:p>
        </w:tc>
        <w:tc>
          <w:tcPr>
            <w:tcW w:w="3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Inherited Handoff issues 1.6–1.10 (telemetry, medication photo capture; Section 2.2)</w:t>
            </w:r>
          </w:p>
        </w:tc>
        <w:tc>
          <w:tcPr>
            <w:tcW w:w="23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Citation with version</w:t>
            </w:r>
          </w:p>
        </w:tc>
      </w:tr>
      <w:tr>
        <w:trPr>
          <w:cantSplit w:val="true"/>
        </w:trPr>
        <w:tc>
          <w:tcPr>
            <w:tcW w:w="1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REG-nn</w:t>
            </w:r>
          </w:p>
        </w:tc>
        <w:tc>
          <w:tcPr>
            <w:tcW w:w="28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Regulation or law</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HIPAA Privacy/Security Rule applicability — disputed, see Section 11.6</w:t>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Citation to the rule</w:t>
            </w:r>
          </w:p>
        </w:tc>
      </w:tr>
      <w:tr>
        <w:trPr>
          <w:cantSplit w:val="true"/>
        </w:trPr>
        <w:tc>
          <w:tcPr>
            <w:tcW w:w="1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STD-nn</w:t>
            </w:r>
          </w:p>
        </w:tc>
        <w:tc>
          <w:tcPr>
            <w:tcW w:w="28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Standard</w:t>
            </w:r>
          </w:p>
        </w:tc>
        <w:tc>
          <w:tcPr>
            <w:tcW w:w="3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WCAG 2.1 AA success criterion 1.4.3 (contrast), cited in NFR-ACC-05</w:t>
            </w:r>
          </w:p>
        </w:tc>
        <w:tc>
          <w:tcPr>
            <w:tcW w:w="23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Citation to the standard</w:t>
            </w:r>
          </w:p>
        </w:tc>
      </w:tr>
      <w:tr>
        <w:trPr>
          <w:cantSplit w:val="true"/>
        </w:trPr>
        <w:tc>
          <w:tcPr>
            <w:tcW w:w="1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CRS-nn</w:t>
            </w:r>
          </w:p>
        </w:tc>
        <w:tc>
          <w:tcPr>
            <w:tcW w:w="28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Course or syllabus requirement</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CRS-01 — CareConnect Team Requirements Briefing §4, §5, §7</w:t>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Syllabus reference</w:t>
            </w:r>
          </w:p>
        </w:tc>
      </w:tr>
      <w:tr>
        <w:trPr>
          <w:cantSplit w:val="true"/>
        </w:trPr>
        <w:tc>
          <w:tcPr>
            <w:tcW w:w="1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TEAM-nn</w:t>
            </w:r>
          </w:p>
        </w:tc>
        <w:tc>
          <w:tcPr>
            <w:tcW w:w="28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Team derived, from analysis of an approved requirement</w:t>
            </w:r>
          </w:p>
        </w:tc>
        <w:tc>
          <w:tcPr>
            <w:tcW w:w="3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TEAM-01 — FR-MCR-09–FR-MCR-11 (unlink/token-expiry flows derived from UC-02's exception path)</w:t>
            </w:r>
          </w:p>
        </w:tc>
        <w:tc>
          <w:tcPr>
            <w:tcW w:w="23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Parent requirement ID</w:t>
            </w:r>
          </w:p>
        </w:tc>
      </w:tr>
    </w:tbl>
    <w:p>
      <w:pPr>
        <w:pStyle w:val="Normal"/>
        <w:spacing w:before="60" w:after="160"/>
        <w:rPr/>
      </w:pPr>
      <w:r>
        <w:rPr>
          <w:i/>
          <w:iCs/>
        </w:rPr>
        <w:t>Note. Every requirement in Section 6 and Section 11 carries one of these source identifiers. A requirement with no source is not a requirement, it is an idea.</w:t>
      </w:r>
    </w:p>
    <w:p>
      <w:pPr>
        <w:pStyle w:val="Heading2"/>
        <w:rPr/>
      </w:pPr>
      <w:bookmarkStart w:id="54" w:name="__RefHeading___Toc10318_627777545"/>
      <w:bookmarkStart w:id="55" w:name="_Toc236656532"/>
      <w:bookmarkEnd w:id="54"/>
      <w:r>
        <w:rPr/>
        <w:t>3.4 Source Policy</w:t>
      </w:r>
      <w:bookmarkEnd w:id="55"/>
    </w:p>
    <w:p>
      <w:pPr>
        <w:pStyle w:val="Normal"/>
        <w:rPr/>
      </w:pPr>
      <w:r>
        <w:rPr/>
        <w:t>A generative AI tool is not a requirements source. AI tools may be used to draft wording, restructure text, or check consistency, and that use is disclosed in Section 16. A requirement is only valid when it traces to a client request, an inherited artifact, a regulation, a standard, a syllabus requirement, or analysis of an already approved requirement. Do not cite a language model as the authority for a requirement.</w:t>
      </w:r>
    </w:p>
    <w:p>
      <w:pPr>
        <w:pStyle w:val="Heading2"/>
        <w:rPr/>
      </w:pPr>
      <w:bookmarkStart w:id="56" w:name="__RefHeading___Toc10320_627777545"/>
      <w:bookmarkStart w:id="57" w:name="_Toc236656533"/>
      <w:bookmarkEnd w:id="56"/>
      <w:r>
        <w:rPr/>
        <w:t>3.5 Open Questions and Undecided Items</w:t>
      </w:r>
      <w:bookmarkEnd w:id="57"/>
    </w:p>
    <w:p>
      <w:pPr>
        <w:pStyle w:val="Normal"/>
        <w:rPr/>
      </w:pPr>
      <w:r>
        <w:rPr/>
        <w:t>The syllabus states plainly that not all requirements will be clear at the start. Record what is unresolved rather than inventing an answer.</w:t>
      </w:r>
    </w:p>
    <w:p>
      <w:pPr>
        <w:pStyle w:val="Normal"/>
        <w:spacing w:before="150" w:after="40"/>
        <w:rPr/>
      </w:pPr>
      <w:r>
        <w:rPr>
          <w:b/>
          <w:bCs/>
        </w:rPr>
        <w:t>Table 17</w:t>
      </w:r>
    </w:p>
    <w:p>
      <w:pPr>
        <w:pStyle w:val="Normal"/>
        <w:spacing w:before="0" w:after="80"/>
        <w:rPr/>
      </w:pPr>
      <w:r>
        <w:rPr>
          <w:i/>
          <w:iCs/>
        </w:rPr>
        <w:t>Open Questions Register</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700"/>
        <w:gridCol w:w="2660"/>
        <w:gridCol w:w="899"/>
        <w:gridCol w:w="1601"/>
        <w:gridCol w:w="1201"/>
        <w:gridCol w:w="1200"/>
        <w:gridCol w:w="1098"/>
      </w:tblGrid>
      <w:tr>
        <w:trPr>
          <w:tblHeader w:val="true"/>
          <w:cantSplit w:val="true"/>
        </w:trPr>
        <w:tc>
          <w:tcPr>
            <w:tcW w:w="7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ID</w:t>
            </w:r>
          </w:p>
        </w:tc>
        <w:tc>
          <w:tcPr>
            <w:tcW w:w="266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Question</w:t>
            </w:r>
          </w:p>
        </w:tc>
        <w:tc>
          <w:tcPr>
            <w:tcW w:w="89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Raised</w:t>
            </w:r>
          </w:p>
        </w:tc>
        <w:tc>
          <w:tcPr>
            <w:tcW w:w="160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Owner</w:t>
            </w:r>
          </w:p>
        </w:tc>
        <w:tc>
          <w:tcPr>
            <w:tcW w:w="120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Needed by</w:t>
            </w:r>
          </w:p>
        </w:tc>
        <w:tc>
          <w:tcPr>
            <w:tcW w:w="12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Blocks</w:t>
            </w:r>
          </w:p>
        </w:tc>
        <w:tc>
          <w:tcPr>
            <w:tcW w:w="109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Status</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OQ-01</w:t>
            </w:r>
          </w:p>
        </w:tc>
        <w:tc>
          <w:tcPr>
            <w:tcW w:w="2660"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What specific APIs are in-scope for CareConnect and this project?</w:t>
            </w:r>
          </w:p>
        </w:tc>
        <w:tc>
          <w:tcPr>
            <w:tcW w:w="899"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Aug 15.</w:t>
            </w:r>
          </w:p>
        </w:tc>
        <w:tc>
          <w:tcPr>
            <w:tcW w:w="1601"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Technical Lead</w:t>
            </w:r>
          </w:p>
        </w:tc>
        <w:tc>
          <w:tcPr>
            <w:tcW w:w="1201"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Milestone 1</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All FR-MCR, all FR-XSRC</w:t>
            </w:r>
          </w:p>
        </w:tc>
        <w:tc>
          <w:tcPr>
            <w:tcW w:w="1098" w:type="dxa"/>
            <w:tcBorders>
              <w:top w:val="single" w:sz="4" w:space="0" w:color="000000"/>
              <w:left w:val="single" w:sz="4" w:space="0" w:color="000000"/>
              <w:bottom w:val="single" w:sz="4" w:space="0" w:color="000000"/>
              <w:right w:val="single" w:sz="4" w:space="0" w:color="000000"/>
            </w:tcBorders>
          </w:tcPr>
          <w:p>
            <w:pPr>
              <w:pStyle w:val="Normal"/>
              <w:suppressLineNumbers w:val="0"/>
              <w:bidi w:val="0"/>
              <w:spacing w:lineRule="auto" w:line="240" w:beforeAutospacing="0" w:before="0" w:afterAutospacing="0" w:after="0"/>
              <w:ind w:left="0" w:right="0"/>
              <w:jc w:val="left"/>
              <w:rPr/>
            </w:pPr>
            <w:r>
              <w:rPr>
                <w:sz w:val="18"/>
                <w:szCs w:val="18"/>
              </w:rPr>
              <w:t>Open</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OQ-02</w:t>
            </w:r>
          </w:p>
        </w:tc>
        <w:tc>
          <w:tcPr>
            <w:tcW w:w="266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How should data be stored in accordance with other EHR services?</w:t>
            </w:r>
          </w:p>
        </w:tc>
        <w:tc>
          <w:tcPr>
            <w:tcW w:w="8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uppressLineNumbers w:val="0"/>
              <w:bidi w:val="0"/>
              <w:spacing w:lineRule="auto" w:line="240" w:beforeAutospacing="0" w:before="0" w:afterAutospacing="0" w:after="0"/>
              <w:ind w:left="0" w:right="0"/>
              <w:jc w:val="left"/>
              <w:rPr/>
            </w:pPr>
            <w:r>
              <w:rPr>
                <w:sz w:val="18"/>
                <w:szCs w:val="18"/>
              </w:rPr>
              <w:t>Aug 15.</w:t>
            </w:r>
          </w:p>
        </w:tc>
        <w:tc>
          <w:tcPr>
            <w:tcW w:w="160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Technical Lead</w:t>
            </w:r>
          </w:p>
        </w:tc>
        <w:tc>
          <w:tcPr>
            <w:tcW w:w="120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uppressLineNumbers w:val="0"/>
              <w:bidi w:val="0"/>
              <w:spacing w:lineRule="auto" w:line="240" w:beforeAutospacing="0" w:before="0" w:afterAutospacing="0" w:after="0"/>
              <w:ind w:left="0" w:right="0"/>
              <w:jc w:val="left"/>
              <w:rPr/>
            </w:pPr>
            <w:r>
              <w:rPr>
                <w:sz w:val="18"/>
                <w:szCs w:val="18"/>
              </w:rPr>
              <w:t>Milestone 1</w:t>
            </w:r>
          </w:p>
        </w:tc>
        <w:tc>
          <w:tcPr>
            <w:tcW w:w="12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b w:val="false"/>
                <w:i w:val="false"/>
                <w:sz w:val="16"/>
              </w:rPr>
              <w:t>FR-MCR-15, FR-XSRC-01</w:t>
            </w:r>
          </w:p>
        </w:tc>
        <w:tc>
          <w:tcPr>
            <w:tcW w:w="10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uppressLineNumbers w:val="0"/>
              <w:bidi w:val="0"/>
              <w:spacing w:lineRule="auto" w:line="240" w:beforeAutospacing="0" w:before="0" w:afterAutospacing="0" w:after="0"/>
              <w:ind w:left="0" w:right="0"/>
              <w:jc w:val="left"/>
              <w:rPr/>
            </w:pPr>
            <w:r>
              <w:rPr>
                <w:sz w:val="18"/>
                <w:szCs w:val="18"/>
              </w:rPr>
              <w:t>Open</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OQ-03</w:t>
            </w:r>
          </w:p>
        </w:tc>
        <w:tc>
          <w:tcPr>
            <w:tcW w:w="26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Is a Medicare sandbox available to this team, and under what credentials?</w:t>
            </w:r>
          </w:p>
        </w:tc>
        <w:tc>
          <w:tcPr>
            <w:tcW w:w="8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Aug 18, 2026 (workbook OQ-M1)</w:t>
            </w:r>
          </w:p>
        </w:tc>
        <w:tc>
          <w:tcPr>
            <w:tcW w:w="16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TBD</w:t>
            </w:r>
          </w:p>
        </w:tc>
        <w:tc>
          <w:tcPr>
            <w:tcW w:w="12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Was needed by 2026-08-22 — past due</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All FR-MCR</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Open — overdue</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OQ-04</w:t>
            </w:r>
          </w:p>
        </w:tc>
        <w:tc>
          <w:tcPr>
            <w:tcW w:w="26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Which peer teams own the Epic / Aetna / Oracle Health integrations, what interface will they expose, and by what date?</w:t>
            </w:r>
          </w:p>
        </w:tc>
        <w:tc>
          <w:tcPr>
            <w:tcW w:w="8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Aug 18, 2026 (workbook OQ-M2)</w:t>
            </w:r>
          </w:p>
        </w:tc>
        <w:tc>
          <w:tcPr>
            <w:tcW w:w="16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TBD</w:t>
            </w:r>
          </w:p>
        </w:tc>
        <w:tc>
          <w:tcPr>
            <w:tcW w:w="12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Was needed by 2026-08-22 — past due</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All FR-XSRC</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Open — overdue</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OQ-05</w:t>
            </w:r>
          </w:p>
        </w:tc>
        <w:tc>
          <w:tcPr>
            <w:tcW w:w="26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What is the citable source for the 13-month Medicare token lifetime referenced in the client meeting?</w:t>
            </w:r>
          </w:p>
        </w:tc>
        <w:tc>
          <w:tcPr>
            <w:tcW w:w="8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Aug 18, 2026 (workbook OQ-M3)</w:t>
            </w:r>
          </w:p>
        </w:tc>
        <w:tc>
          <w:tcPr>
            <w:tcW w:w="16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TBD</w:t>
            </w:r>
          </w:p>
        </w:tc>
        <w:tc>
          <w:tcPr>
            <w:tcW w:w="12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Before Milestone 2 (Sep 19, 2026)</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FR-MCR-12</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Open</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OQ-06</w:t>
            </w:r>
          </w:p>
        </w:tc>
        <w:tc>
          <w:tcPr>
            <w:tcW w:w="26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Which FHIR resources and version apply to stored Medicare records?</w:t>
            </w:r>
          </w:p>
        </w:tc>
        <w:tc>
          <w:tcPr>
            <w:tcW w:w="8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Aug 18, 2026 (workbook OQ-M4)</w:t>
            </w:r>
          </w:p>
        </w:tc>
        <w:tc>
          <w:tcPr>
            <w:tcW w:w="16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TBD</w:t>
            </w:r>
          </w:p>
        </w:tc>
        <w:tc>
          <w:tcPr>
            <w:tcW w:w="12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Before Milestone 2 (Sep 19, 2026)</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FR-MCR-15</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Open</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OQ-07</w:t>
            </w:r>
          </w:p>
        </w:tc>
        <w:tc>
          <w:tcPr>
            <w:tcW w:w="26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How is the same beneficiary identified across Medicare (MBI) and a peer source (MRN)?</w:t>
            </w:r>
          </w:p>
        </w:tc>
        <w:tc>
          <w:tcPr>
            <w:tcW w:w="8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Aug 18, 2026 (workbook OQ-M5)</w:t>
            </w:r>
          </w:p>
        </w:tc>
        <w:tc>
          <w:tcPr>
            <w:tcW w:w="16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TBD</w:t>
            </w:r>
          </w:p>
        </w:tc>
        <w:tc>
          <w:tcPr>
            <w:tcW w:w="12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Before Milestone 2 (Sep 19, 2026)</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FR-XSRC-01</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Open</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OQ-08</w:t>
            </w:r>
          </w:p>
        </w:tc>
        <w:tc>
          <w:tcPr>
            <w:tcW w:w="26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Which naming applies to CareConnect's internal staff role — “admin” (Aug 15 meeting transcript) or “sysadmin” / “data stewards” (a separate notes record of the same meeting)?</w:t>
            </w:r>
          </w:p>
        </w:tc>
        <w:tc>
          <w:tcPr>
            <w:tcW w:w="8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Aug 15, 2026</w:t>
            </w:r>
          </w:p>
        </w:tc>
        <w:tc>
          <w:tcPr>
            <w:tcW w:w="16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TBD (client / product owner)</w:t>
            </w:r>
          </w:p>
        </w:tc>
        <w:tc>
          <w:tcPr>
            <w:tcW w:w="12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Before Section 2.4 and Section 3.1 are baselined</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User Classes (Table 10), Stakeholder Register (SH-09)</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Open</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OQ-09</w:t>
            </w:r>
          </w:p>
        </w:tc>
        <w:tc>
          <w:tcPr>
            <w:tcW w:w="26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Does HIPAA (and the Privacy Act) apply to CareConnect's handling of Medicare-derived data? The Aug 15 transcript records the client questioning applicability; a separate notes record of the same meeting asserts compliance will be followed.</w:t>
            </w:r>
          </w:p>
        </w:tc>
        <w:tc>
          <w:tcPr>
            <w:tcW w:w="8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Aug 15, 2026</w:t>
            </w:r>
          </w:p>
        </w:tc>
        <w:tc>
          <w:tcPr>
            <w:tcW w:w="16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TBD (client / product owner)</w:t>
            </w:r>
          </w:p>
        </w:tc>
        <w:tc>
          <w:tcPr>
            <w:tcW w:w="12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Before Section 11.6 is baselined</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AS-03 (Section 2.7), Sections 11.5–11.6</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Open — disputed</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OQ-10</w:t>
            </w:r>
          </w:p>
        </w:tc>
        <w:tc>
          <w:tcPr>
            <w:tcW w:w="26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Should the requirements workbook's M1/Must tagging on FR-MCR-01–29 and related NFRs (several with acceptance criteria reading “verified in M1”) be corrected to match the team's actual Milestone 1 commitment (architecture and Blue Button feasibility investigation only)?</w:t>
            </w:r>
          </w:p>
        </w:tc>
        <w:tc>
          <w:tcPr>
            <w:tcW w:w="8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Aug 24, 2026 (TDD Section 3 scope note)</w:t>
            </w:r>
          </w:p>
        </w:tc>
        <w:tc>
          <w:tcPr>
            <w:tcW w:w="16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TBD (Business Analyst — Kris)</w:t>
            </w:r>
          </w:p>
        </w:tc>
        <w:tc>
          <w:tcPr>
            <w:tcW w:w="12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Before Milestone 1 submission</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All requirements in Section 1.2 Table 5</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Open</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OQ-11</w:t>
            </w:r>
          </w:p>
        </w:tc>
        <w:tc>
          <w:tcPr>
            <w:tcW w:w="26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Does BR-02's grant of Medicare access via a CaregiverPatientLink or a FamilyMemberLink extend to a Family Member role, and is Administrator access ever granted? TDD Section 8 (Camilla, 2026-08-25) states Family Member and Administrator access is an open product decision and is not designed as granted, which conflicts with BR-02 as currently written (see the flag note after Table 44).</w:t>
            </w:r>
          </w:p>
        </w:tc>
        <w:tc>
          <w:tcPr>
            <w:tcW w:w="8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Aug 25, 2026 (TDD Section 8)</w:t>
            </w:r>
          </w:p>
        </w:tc>
        <w:tc>
          <w:tcPr>
            <w:tcW w:w="16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TBD (client / product owner)</w:t>
            </w:r>
          </w:p>
        </w:tc>
        <w:tc>
          <w:tcPr>
            <w:tcW w:w="12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Before BR-02 / FR-MCR-16 scope is implemented</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BR-02, FR-MCR-16, FR-MCR-17</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Open — conflict</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OQ-12</w:t>
            </w:r>
          </w:p>
        </w:tc>
        <w:tc>
          <w:tcPr>
            <w:tcW w:w="26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Is bilingual (English/Spanish) support required for the Medicare views? TDD Section 8.4 (Camilla) notes Medicare's own Blue Button hosted authentication supports English and Spanish, but no NFR in Section 11 currently covers localization for CareConnect's own Medicare screens.</w:t>
            </w:r>
          </w:p>
        </w:tc>
        <w:tc>
          <w:tcPr>
            <w:tcW w:w="8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Aug 25, 2026 (TDD Section 8.4)</w:t>
            </w:r>
          </w:p>
        </w:tc>
        <w:tc>
          <w:tcPr>
            <w:tcW w:w="16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TBD (client / product owner)</w:t>
            </w:r>
          </w:p>
        </w:tc>
        <w:tc>
          <w:tcPr>
            <w:tcW w:w="12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Before Milestone 2</w:t>
            </w:r>
          </w:p>
        </w:tc>
        <w:tc>
          <w:tcPr>
            <w:tcW w:w="12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Section 11 (no localization NFR defined yet)</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Open</w:t>
            </w:r>
          </w:p>
        </w:tc>
      </w:tr>
    </w:tbl>
    <w:p>
      <w:pPr>
        <w:pStyle w:val="Normal"/>
        <w:rPr/>
      </w:pPr>
      <w:r>
        <w:rPr/>
      </w:r>
      <w:r>
        <w:br w:type="page"/>
      </w:r>
    </w:p>
    <w:p>
      <w:pPr>
        <w:pStyle w:val="Heading1"/>
        <w:spacing w:before="0" w:after="150"/>
        <w:rPr/>
      </w:pPr>
      <w:bookmarkStart w:id="58" w:name="__RefHeading___Toc10322_627777545"/>
      <w:bookmarkStart w:id="59" w:name="_Toc236656534"/>
      <w:bookmarkEnd w:id="58"/>
      <w:r>
        <w:rPr/>
        <w:t>4. Requirements Management Approach</w:t>
      </w:r>
      <w:bookmarkEnd w:id="59"/>
    </w:p>
    <w:p>
      <w:pPr>
        <w:pStyle w:val="Heading2"/>
        <w:rPr/>
      </w:pPr>
      <w:bookmarkStart w:id="60" w:name="__RefHeading___Toc10324_627777545"/>
      <w:bookmarkStart w:id="61" w:name="_Toc236656535"/>
      <w:bookmarkEnd w:id="60"/>
      <w:r>
        <w:rPr/>
        <w:t>4.1 Requirement Attributes</w:t>
      </w:r>
      <w:bookmarkEnd w:id="61"/>
    </w:p>
    <w:p>
      <w:pPr>
        <w:pStyle w:val="Normal"/>
        <w:rPr/>
      </w:pPr>
      <w:r>
        <w:rPr/>
        <w:t>Every functional and non-functional requirement carries the attributes below. Requirements are recorded in the tables in Sections 6, 7, and 11 using this attribute set.</w:t>
      </w:r>
    </w:p>
    <w:p>
      <w:pPr>
        <w:pStyle w:val="Normal"/>
        <w:spacing w:before="150" w:after="40"/>
        <w:rPr/>
      </w:pPr>
      <w:r>
        <w:rPr>
          <w:b/>
          <w:bCs/>
        </w:rPr>
        <w:t>Table 18</w:t>
      </w:r>
    </w:p>
    <w:p>
      <w:pPr>
        <w:pStyle w:val="Normal"/>
        <w:spacing w:before="0" w:after="80"/>
        <w:rPr/>
      </w:pPr>
      <w:r>
        <w:rPr>
          <w:i/>
          <w:iCs/>
        </w:rPr>
        <w:t>Required Requirement Attributes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798"/>
        <w:gridCol w:w="4300"/>
        <w:gridCol w:w="3262"/>
      </w:tblGrid>
      <w:tr>
        <w:trPr>
          <w:tblHeader w:val="true"/>
          <w:cantSplit w:val="true"/>
        </w:trPr>
        <w:tc>
          <w:tcPr>
            <w:tcW w:w="179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Attribute</w:t>
            </w:r>
          </w:p>
        </w:tc>
        <w:tc>
          <w:tcPr>
            <w:tcW w:w="430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Definition</w:t>
            </w:r>
          </w:p>
        </w:tc>
        <w:tc>
          <w:tcPr>
            <w:tcW w:w="3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spacing w:lineRule="auto" w:line="240" w:before="0" w:after="0"/>
              <w:rPr/>
            </w:pPr>
            <w:r>
              <w:rPr>
                <w:b/>
                <w:bCs/>
                <w:sz w:val="18"/>
                <w:szCs w:val="18"/>
              </w:rPr>
              <w:t>Permitted values</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ID</w:t>
            </w:r>
          </w:p>
        </w:tc>
        <w:tc>
          <w:tcPr>
            <w:tcW w:w="4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Permanent identifier</w:t>
            </w:r>
          </w:p>
        </w:tc>
        <w:tc>
          <w:tcPr>
            <w:tcW w:w="32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 never reused</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Statement</w:t>
            </w:r>
          </w:p>
        </w:tc>
        <w:tc>
          <w:tcPr>
            <w:tcW w:w="43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One testable shall statement</w:t>
            </w:r>
          </w:p>
        </w:tc>
        <w:tc>
          <w:tcPr>
            <w:tcW w:w="326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Single obligation, no compound clauses</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Source</w:t>
            </w:r>
          </w:p>
        </w:tc>
        <w:tc>
          <w:tcPr>
            <w:tcW w:w="4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Where the requirement came from</w:t>
            </w:r>
          </w:p>
        </w:tc>
        <w:tc>
          <w:tcPr>
            <w:tcW w:w="32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SRC, INH, REG, STD, CRS, or TEAM identifier</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Rationale</w:t>
            </w:r>
          </w:p>
        </w:tc>
        <w:tc>
          <w:tcPr>
            <w:tcW w:w="43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Why the requirement exists</w:t>
            </w:r>
          </w:p>
        </w:tc>
        <w:tc>
          <w:tcPr>
            <w:tcW w:w="326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One sentence</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Priority</w:t>
            </w:r>
          </w:p>
        </w:tc>
        <w:tc>
          <w:tcPr>
            <w:tcW w:w="4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Delivery priority</w:t>
            </w:r>
          </w:p>
        </w:tc>
        <w:tc>
          <w:tcPr>
            <w:tcW w:w="32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Must, Should, Could, Won't (this term)</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Milestone</w:t>
            </w:r>
          </w:p>
        </w:tc>
        <w:tc>
          <w:tcPr>
            <w:tcW w:w="43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Increment in which it is delivered</w:t>
            </w:r>
          </w:p>
        </w:tc>
        <w:tc>
          <w:tcPr>
            <w:tcW w:w="326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M1, M2, M3, M4, or Deferred</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Status</w:t>
            </w:r>
          </w:p>
        </w:tc>
        <w:tc>
          <w:tcPr>
            <w:tcW w:w="4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Current state</w:t>
            </w:r>
          </w:p>
        </w:tc>
        <w:tc>
          <w:tcPr>
            <w:tcW w:w="32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Proposed, Approved, Implemented, Verified, Deferred, Withdrawn</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Owner</w:t>
            </w:r>
          </w:p>
        </w:tc>
        <w:tc>
          <w:tcPr>
            <w:tcW w:w="43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Team member accountable</w:t>
            </w:r>
          </w:p>
        </w:tc>
        <w:tc>
          <w:tcPr>
            <w:tcW w:w="326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Name</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Verification method</w:t>
            </w:r>
          </w:p>
        </w:tc>
        <w:tc>
          <w:tcPr>
            <w:tcW w:w="4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How satisfaction is proven</w:t>
            </w:r>
          </w:p>
        </w:tc>
        <w:tc>
          <w:tcPr>
            <w:tcW w:w="32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Test, Demonstration, Inspection, Analysis</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Acceptance criteria</w:t>
            </w:r>
          </w:p>
        </w:tc>
        <w:tc>
          <w:tcPr>
            <w:tcW w:w="430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Measurable and verifiable pass condition, SMART, Section 14.3</w:t>
            </w:r>
          </w:p>
        </w:tc>
        <w:tc>
          <w:tcPr>
            <w:tcW w:w="326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spacing w:lineRule="auto" w:line="240" w:before="0" w:after="0"/>
              <w:rPr/>
            </w:pPr>
            <w:r>
              <w:rPr>
                <w:sz w:val="18"/>
                <w:szCs w:val="18"/>
              </w:rPr>
              <w:t>AC identifiers, written Given, When, Then</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Trace</w:t>
            </w:r>
          </w:p>
        </w:tc>
        <w:tc>
          <w:tcPr>
            <w:tcW w:w="4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Forward links</w:t>
            </w:r>
          </w:p>
        </w:tc>
        <w:tc>
          <w:tcPr>
            <w:tcW w:w="32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Design element, test case, VPAT row where applicable</w:t>
            </w:r>
          </w:p>
        </w:tc>
      </w:tr>
    </w:tbl>
    <w:p>
      <w:pPr>
        <w:pStyle w:val="Normal"/>
        <w:spacing w:before="60" w:after="160"/>
        <w:rPr>
          <w:i/>
          <w:i/>
          <w:iCs/>
        </w:rPr>
      </w:pPr>
      <w:r>
        <w:rPr>
          <w:i/>
          <w:iCs/>
        </w:rPr>
      </w:r>
    </w:p>
    <w:p>
      <w:pPr>
        <w:pStyle w:val="Normal"/>
        <w:spacing w:before="60" w:after="160"/>
        <w:rPr>
          <w:i/>
          <w:i/>
          <w:iCs/>
        </w:rPr>
      </w:pPr>
      <w:r>
        <w:rPr>
          <w:i/>
          <w:iCs/>
        </w:rPr>
      </w:r>
    </w:p>
    <w:p>
      <w:pPr>
        <w:pStyle w:val="Normal"/>
        <w:spacing w:before="60" w:after="160"/>
        <w:rPr/>
      </w:pPr>
      <w:r>
        <w:rPr>
          <w:i/>
          <w:iCs/>
        </w:rPr>
        <w:t>Note. Eleven attributes sounds heavy until the first change request arrives. Without source and status, nobody can tell what a change breaks.</w:t>
      </w:r>
    </w:p>
    <w:p>
      <w:pPr>
        <w:pStyle w:val="Heading2"/>
        <w:rPr/>
      </w:pPr>
      <w:bookmarkStart w:id="62" w:name="__RefHeading___Toc10326_627777545"/>
      <w:bookmarkStart w:id="63" w:name="_Toc236656536"/>
      <w:bookmarkEnd w:id="62"/>
      <w:r>
        <w:rPr/>
        <w:t>4.2 Priority Definitions</w:t>
      </w:r>
      <w:bookmarkEnd w:id="63"/>
    </w:p>
    <w:p>
      <w:pPr>
        <w:pStyle w:val="Normal"/>
        <w:spacing w:before="150" w:after="40"/>
        <w:rPr/>
      </w:pPr>
      <w:r>
        <w:rPr>
          <w:b/>
          <w:bCs/>
        </w:rPr>
        <w:t>Table 19</w:t>
      </w:r>
    </w:p>
    <w:p>
      <w:pPr>
        <w:pStyle w:val="Normal"/>
        <w:spacing w:before="0" w:after="80"/>
        <w:rPr/>
      </w:pPr>
      <w:r>
        <w:rPr>
          <w:i/>
          <w:iCs/>
        </w:rPr>
        <w:t>MoSCoW Priority Definitions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698"/>
        <w:gridCol w:w="4200"/>
        <w:gridCol w:w="3462"/>
      </w:tblGrid>
      <w:tr>
        <w:trPr>
          <w:tblHeader w:val="true"/>
          <w:cantSplit w:val="true"/>
        </w:trPr>
        <w:tc>
          <w:tcPr>
            <w:tcW w:w="16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Priority</w:t>
            </w:r>
          </w:p>
        </w:tc>
        <w:tc>
          <w:tcPr>
            <w:tcW w:w="42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Meaning</w:t>
            </w:r>
          </w:p>
        </w:tc>
        <w:tc>
          <w:tcPr>
            <w:tcW w:w="346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Consequence if not delivered</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Must</w:t>
            </w:r>
          </w:p>
        </w:tc>
        <w:tc>
          <w:tcPr>
            <w:tcW w:w="4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Part of the minimum viable product for the term</w:t>
            </w:r>
          </w:p>
        </w:tc>
        <w:tc>
          <w:tcPr>
            <w:tcW w:w="34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The increment fails its acceptance criteria</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Should</w:t>
            </w:r>
          </w:p>
        </w:tc>
        <w:tc>
          <w:tcPr>
            <w:tcW w:w="4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Important and planned, but the product works without it</w:t>
            </w:r>
          </w:p>
        </w:tc>
        <w:tc>
          <w:tcPr>
            <w:tcW w:w="34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Degraded but acceptable delivery</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Could</w:t>
            </w:r>
          </w:p>
        </w:tc>
        <w:tc>
          <w:tcPr>
            <w:tcW w:w="4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Delivered only if capacity allows</w:t>
            </w:r>
          </w:p>
        </w:tc>
        <w:tc>
          <w:tcPr>
            <w:tcW w:w="34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No material effect</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Won't (this term)</w:t>
            </w:r>
          </w:p>
        </w:tc>
        <w:tc>
          <w:tcPr>
            <w:tcW w:w="4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Agreed with the client as out of scope for this term</w:t>
            </w:r>
          </w:p>
        </w:tc>
        <w:tc>
          <w:tcPr>
            <w:tcW w:w="34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Recorded in the deferred backlog, Section 5.2</w:t>
            </w:r>
          </w:p>
        </w:tc>
      </w:tr>
    </w:tbl>
    <w:p>
      <w:pPr>
        <w:pStyle w:val="Normal"/>
        <w:spacing w:before="60" w:after="160"/>
        <w:rPr/>
      </w:pPr>
      <w:r>
        <w:rPr>
          <w:i/>
          <w:iCs/>
        </w:rPr>
        <w:t>Note. If more than roughly sixty percent of your requirements are Must, you have not prioritized. Rank within Must if you need to.</w:t>
      </w:r>
    </w:p>
    <w:p>
      <w:pPr>
        <w:pStyle w:val="Heading2"/>
        <w:rPr/>
      </w:pPr>
      <w:bookmarkStart w:id="64" w:name="__RefHeading___Toc10328_627777545"/>
      <w:bookmarkStart w:id="65" w:name="_Toc236656537"/>
      <w:bookmarkEnd w:id="64"/>
      <w:r>
        <w:rPr/>
        <w:t>4.3 Requirement Status Lifecycle</w:t>
      </w:r>
      <w:bookmarkEnd w:id="65"/>
    </w:p>
    <w:p>
      <w:pPr>
        <w:pStyle w:val="Normal"/>
        <w:spacing w:before="150" w:after="40"/>
        <w:rPr/>
      </w:pPr>
      <w:r>
        <w:rPr>
          <w:b/>
          <w:bCs/>
        </w:rPr>
        <w:t>Figure 2</w:t>
      </w:r>
    </w:p>
    <w:p>
      <w:pPr>
        <w:pStyle w:val="Normal"/>
        <w:spacing w:before="0" w:after="60"/>
        <w:rPr/>
      </w:pPr>
      <w:r>
        <w:rPr>
          <w:i/>
          <w:iCs/>
        </w:rPr>
        <w:t>Requirement Status Lifecycle</w:t>
      </w:r>
    </w:p>
    <w:p>
      <w:pPr>
        <w:pStyle w:val="Normal"/>
        <w:pBdr>
          <w:top w:val="dashed" w:sz="6" w:space="0" w:color="999999"/>
          <w:left w:val="dashed" w:sz="6" w:space="0" w:color="999999"/>
          <w:bottom w:val="dashed" w:sz="6" w:space="0" w:color="999999"/>
          <w:right w:val="dashed" w:sz="6" w:space="0" w:color="999999"/>
        </w:pBdr>
        <w:shd w:val="clear" w:color="auto" w:fill="F5F5F5"/>
        <w:spacing w:before="40" w:after="40"/>
        <w:jc w:val="center"/>
        <w:rPr/>
      </w:pPr>
      <w:r>
        <w:rPr/>
        <w:drawing>
          <wp:inline distT="0" distB="0" distL="0" distR="0">
            <wp:extent cx="5486400" cy="215582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6"/>
                    <a:stretch>
                      <a:fillRect/>
                    </a:stretch>
                  </pic:blipFill>
                  <pic:spPr bwMode="auto">
                    <a:xfrm>
                      <a:off x="0" y="0"/>
                      <a:ext cx="5486400" cy="2155825"/>
                    </a:xfrm>
                    <a:prstGeom prst="rect">
                      <a:avLst/>
                    </a:prstGeom>
                  </pic:spPr>
                </pic:pic>
              </a:graphicData>
            </a:graphic>
          </wp:inline>
        </w:drawing>
      </w:r>
    </w:p>
    <w:p>
      <w:pPr>
        <w:pStyle w:val="Normal"/>
        <w:spacing w:before="0" w:after="160"/>
        <w:rPr/>
      </w:pPr>
      <w:r>
        <w:rPr>
          <w:i/>
          <w:iCs/>
        </w:rPr>
        <w:t>Note. A requirement moves left to right as it is approved, implemented, and verified. Deferred and Withdrawn are exits the client or product owner can take from Proposed at any point; nothing in this project's current requirement set has taken either exit yet.</w:t>
      </w:r>
    </w:p>
    <w:p>
      <w:pPr>
        <w:pStyle w:val="Normal"/>
        <w:spacing w:before="150" w:after="40"/>
        <w:rPr/>
      </w:pPr>
      <w:r>
        <w:rPr>
          <w:b/>
          <w:bCs/>
        </w:rPr>
        <w:t>Table 20</w:t>
      </w:r>
    </w:p>
    <w:p>
      <w:pPr>
        <w:pStyle w:val="Normal"/>
        <w:spacing w:before="0" w:after="80"/>
        <w:rPr/>
      </w:pPr>
      <w:r>
        <w:rPr>
          <w:i/>
          <w:iCs/>
        </w:rPr>
        <w:t>Status Definitions and Transition Authority</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400"/>
        <w:gridCol w:w="3399"/>
        <w:gridCol w:w="1900"/>
        <w:gridCol w:w="2660"/>
      </w:tblGrid>
      <w:tr>
        <w:trPr>
          <w:tblHeader w:val="true"/>
          <w:cantSplit w:val="true"/>
        </w:trPr>
        <w:tc>
          <w:tcPr>
            <w:tcW w:w="14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Status</w:t>
            </w:r>
          </w:p>
        </w:tc>
        <w:tc>
          <w:tcPr>
            <w:tcW w:w="33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Meaning</w:t>
            </w:r>
          </w:p>
        </w:tc>
        <w:tc>
          <w:tcPr>
            <w:tcW w:w="19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Set by</w:t>
            </w:r>
          </w:p>
        </w:tc>
        <w:tc>
          <w:tcPr>
            <w:tcW w:w="26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Evidence</w:t>
            </w:r>
          </w:p>
        </w:tc>
      </w:tr>
      <w:tr>
        <w:trPr>
          <w:cantSplit w:val="true"/>
        </w:trPr>
        <w:tc>
          <w:tcPr>
            <w:tcW w:w="1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Proposed</w:t>
            </w:r>
          </w:p>
        </w:tc>
        <w:tc>
          <w:tcPr>
            <w:tcW w:w="3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Captured but not yet agreed with the client</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Business Analyst</w:t>
            </w:r>
          </w:p>
        </w:tc>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Engagement log entry</w:t>
            </w:r>
          </w:p>
        </w:tc>
      </w:tr>
      <w:tr>
        <w:trPr>
          <w:cantSplit w:val="true"/>
        </w:trPr>
        <w:tc>
          <w:tcPr>
            <w:tcW w:w="14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Approved</w:t>
            </w:r>
          </w:p>
        </w:tc>
        <w:tc>
          <w:tcPr>
            <w:tcW w:w="33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Agreed, baselined, ready to build</w:t>
            </w:r>
          </w:p>
        </w:tc>
        <w:tc>
          <w:tcPr>
            <w:tcW w:w="19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Client or product owner</w:t>
            </w:r>
          </w:p>
        </w:tc>
        <w:tc>
          <w:tcPr>
            <w:tcW w:w="26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Sign-off in Document Control</w:t>
            </w:r>
          </w:p>
        </w:tc>
      </w:tr>
      <w:tr>
        <w:trPr>
          <w:cantSplit w:val="true"/>
        </w:trPr>
        <w:tc>
          <w:tcPr>
            <w:tcW w:w="1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Implemented</w:t>
            </w:r>
          </w:p>
        </w:tc>
        <w:tc>
          <w:tcPr>
            <w:tcW w:w="3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Code merged and deployed to the test environment</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Developer</w:t>
            </w:r>
          </w:p>
        </w:tc>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Pull request identifier</w:t>
            </w:r>
          </w:p>
        </w:tc>
      </w:tr>
      <w:tr>
        <w:trPr>
          <w:cantSplit w:val="true"/>
        </w:trPr>
        <w:tc>
          <w:tcPr>
            <w:tcW w:w="14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Verified</w:t>
            </w:r>
          </w:p>
        </w:tc>
        <w:tc>
          <w:tcPr>
            <w:tcW w:w="33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Test executed and passed</w:t>
            </w:r>
          </w:p>
        </w:tc>
        <w:tc>
          <w:tcPr>
            <w:tcW w:w="19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QA</w:t>
            </w:r>
          </w:p>
        </w:tc>
        <w:tc>
          <w:tcPr>
            <w:tcW w:w="26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Test case result in the Test Report</w:t>
            </w:r>
          </w:p>
        </w:tc>
      </w:tr>
      <w:tr>
        <w:trPr>
          <w:cantSplit w:val="true"/>
        </w:trPr>
        <w:tc>
          <w:tcPr>
            <w:tcW w:w="1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Deferred</w:t>
            </w:r>
          </w:p>
        </w:tc>
        <w:tc>
          <w:tcPr>
            <w:tcW w:w="3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Moved to a later milestone or to a future cohort</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Client</w:t>
            </w:r>
          </w:p>
        </w:tc>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Change log entry</w:t>
            </w:r>
          </w:p>
        </w:tc>
      </w:tr>
      <w:tr>
        <w:trPr>
          <w:cantSplit w:val="true"/>
        </w:trPr>
        <w:tc>
          <w:tcPr>
            <w:tcW w:w="14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Withdrawn</w:t>
            </w:r>
          </w:p>
        </w:tc>
        <w:tc>
          <w:tcPr>
            <w:tcW w:w="33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No longer required</w:t>
            </w:r>
          </w:p>
        </w:tc>
        <w:tc>
          <w:tcPr>
            <w:tcW w:w="19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Client</w:t>
            </w:r>
          </w:p>
        </w:tc>
        <w:tc>
          <w:tcPr>
            <w:tcW w:w="26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Change log entry with rationale</w:t>
            </w:r>
          </w:p>
        </w:tc>
      </w:tr>
    </w:tbl>
    <w:p>
      <w:pPr>
        <w:pStyle w:val="Normal"/>
        <w:spacing w:before="60" w:after="160"/>
        <w:rPr/>
      </w:pPr>
      <w:r>
        <w:rPr>
          <w:i/>
          <w:iCs/>
        </w:rPr>
        <w:t>Note. Status is the field the instructor reads to judge progress between milestones. Keep it current.</w:t>
      </w:r>
    </w:p>
    <w:p>
      <w:pPr>
        <w:pStyle w:val="Heading2"/>
        <w:rPr/>
      </w:pPr>
      <w:bookmarkStart w:id="66" w:name="__RefHeading___Toc10330_627777545"/>
      <w:bookmarkStart w:id="67" w:name="_Toc236656538"/>
      <w:bookmarkEnd w:id="66"/>
      <w:r>
        <w:rPr/>
        <w:t>4.4 Requirements Change Control</w:t>
      </w:r>
      <w:bookmarkEnd w:id="67"/>
    </w:p>
    <w:p>
      <w:pPr>
        <w:pStyle w:val="ListParagraph"/>
        <w:numPr>
          <w:ilvl w:val="0"/>
          <w:numId w:val="12"/>
        </w:numPr>
        <w:spacing w:before="0" w:after="60"/>
        <w:rPr/>
      </w:pPr>
      <w:r>
        <w:rPr/>
        <w:t>Any team member or stakeholder raises a proposed change with a short written description.</w:t>
      </w:r>
    </w:p>
    <w:p>
      <w:pPr>
        <w:pStyle w:val="ListParagraph"/>
        <w:numPr>
          <w:ilvl w:val="0"/>
          <w:numId w:val="13"/>
        </w:numPr>
        <w:spacing w:before="0" w:after="60"/>
        <w:rPr/>
      </w:pPr>
      <w:r>
        <w:rPr/>
        <w:t>The Business Analyst assesses the effect on scope, schedule, design, tests, and other requirements.</w:t>
      </w:r>
    </w:p>
    <w:p>
      <w:pPr>
        <w:pStyle w:val="ListParagraph"/>
        <w:numPr>
          <w:ilvl w:val="0"/>
          <w:numId w:val="14"/>
        </w:numPr>
        <w:spacing w:before="0" w:after="60"/>
        <w:rPr/>
      </w:pPr>
      <w:r>
        <w:rPr/>
        <w:t>The client or product owner approves, defers, or rejects, and the decision is recorded.</w:t>
      </w:r>
    </w:p>
    <w:p>
      <w:pPr>
        <w:pStyle w:val="ListParagraph"/>
        <w:numPr>
          <w:ilvl w:val="0"/>
          <w:numId w:val="15"/>
        </w:numPr>
        <w:spacing w:before="0" w:after="60"/>
        <w:rPr/>
      </w:pPr>
      <w:r>
        <w:rPr/>
        <w:t>The requirement is updated in place, its version is incremented, and its status is set accordingly.</w:t>
      </w:r>
    </w:p>
    <w:p>
      <w:pPr>
        <w:pStyle w:val="ListParagraph"/>
        <w:numPr>
          <w:ilvl w:val="0"/>
          <w:numId w:val="16"/>
        </w:numPr>
        <w:spacing w:before="0" w:after="60"/>
        <w:rPr/>
      </w:pPr>
      <w:r>
        <w:rPr/>
        <w:t>The change is entered in the change log in Section 4.5 and reflected with Track Changes.</w:t>
      </w:r>
    </w:p>
    <w:p>
      <w:pPr>
        <w:pStyle w:val="ListParagraph"/>
        <w:numPr>
          <w:ilvl w:val="0"/>
          <w:numId w:val="17"/>
        </w:numPr>
        <w:spacing w:before="0" w:after="60"/>
        <w:rPr/>
      </w:pPr>
      <w:r>
        <w:rPr/>
        <w:t>Affected design elements, test cases, and VPAT rows are updated in the same milestone.</w:t>
      </w:r>
    </w:p>
    <w:p>
      <w:pPr>
        <w:pStyle w:val="Heading2"/>
        <w:rPr/>
      </w:pPr>
      <w:bookmarkStart w:id="68" w:name="__RefHeading___Toc10332_627777545"/>
      <w:bookmarkStart w:id="69" w:name="_Toc236656539"/>
      <w:bookmarkEnd w:id="68"/>
      <w:r>
        <w:rPr/>
        <w:t>4.5 Requirements Change Log for This Milestone</w:t>
      </w:r>
      <w:bookmarkEnd w:id="69"/>
    </w:p>
    <w:p>
      <w:pPr>
        <w:pStyle w:val="Normal"/>
        <w:spacing w:before="150" w:after="40"/>
        <w:rPr/>
      </w:pPr>
      <w:r>
        <w:rPr>
          <w:b/>
          <w:bCs/>
        </w:rPr>
        <w:t>Table 21</w:t>
      </w:r>
    </w:p>
    <w:p>
      <w:pPr>
        <w:pStyle w:val="Normal"/>
        <w:spacing w:before="0" w:after="80"/>
        <w:rPr/>
      </w:pPr>
      <w:r>
        <w:rPr>
          <w:i/>
          <w:iCs/>
        </w:rPr>
        <w:t>Requirements Change Log</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900"/>
        <w:gridCol w:w="1299"/>
        <w:gridCol w:w="1501"/>
        <w:gridCol w:w="2559"/>
        <w:gridCol w:w="1000"/>
        <w:gridCol w:w="1102"/>
        <w:gridCol w:w="998"/>
      </w:tblGrid>
      <w:tr>
        <w:trPr>
          <w:tblHeader w:val="true"/>
          <w:cantSplit w:val="true"/>
        </w:trPr>
        <w:tc>
          <w:tcPr>
            <w:tcW w:w="9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Change ID</w:t>
            </w:r>
          </w:p>
        </w:tc>
        <w:tc>
          <w:tcPr>
            <w:tcW w:w="12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Requirement</w:t>
            </w:r>
          </w:p>
        </w:tc>
        <w:tc>
          <w:tcPr>
            <w:tcW w:w="15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Type</w:t>
            </w:r>
          </w:p>
        </w:tc>
        <w:tc>
          <w:tcPr>
            <w:tcW w:w="255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Description of change</w:t>
            </w:r>
          </w:p>
        </w:tc>
        <w:tc>
          <w:tcPr>
            <w:tcW w:w="1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Source</w:t>
            </w:r>
          </w:p>
        </w:tc>
        <w:tc>
          <w:tcPr>
            <w:tcW w:w="110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Approved by</w:t>
            </w:r>
          </w:p>
        </w:tc>
        <w:tc>
          <w:tcPr>
            <w:tcW w:w="9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Date</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RC-01</w:t>
            </w:r>
          </w:p>
        </w:tc>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N/A</w:t>
            </w:r>
          </w:p>
        </w:tc>
        <w:tc>
          <w:tcPr>
            <w:tcW w:w="15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N/A</w:t>
            </w:r>
          </w:p>
        </w:tc>
        <w:tc>
          <w:tcPr>
            <w:tcW w:w="2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This is the initial baseline for Milestone 1; there is no prior version of this SRS to change from.</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N/A</w:t>
            </w:r>
          </w:p>
        </w:tc>
        <w:tc>
          <w:tcPr>
            <w:tcW w:w="11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N/A</w:t>
            </w:r>
          </w:p>
        </w:tc>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N/A</w:t>
            </w:r>
          </w:p>
        </w:tc>
      </w:tr>
    </w:tbl>
    <w:p>
      <w:pPr>
        <w:pStyle w:val="Normal"/>
        <w:spacing w:before="60" w:after="160"/>
        <w:rPr/>
      </w:pPr>
      <w:r>
        <w:rPr>
          <w:i/>
          <w:iCs/>
        </w:rPr>
        <w:t>Note. This log plus Track Changes is how the grader sees the document evolve rather than reappear.</w:t>
      </w:r>
    </w:p>
    <w:p>
      <w:pPr>
        <w:pStyle w:val="Heading2"/>
        <w:rPr/>
      </w:pPr>
      <w:bookmarkStart w:id="70" w:name="__RefHeading___Toc10334_627777545"/>
      <w:bookmarkStart w:id="71" w:name="_Toc236656540"/>
      <w:bookmarkEnd w:id="70"/>
      <w:r>
        <w:rPr/>
        <w:t>4.6 Baseline and Track Changes Procedure</w:t>
      </w:r>
      <w:bookmarkEnd w:id="71"/>
    </w:p>
    <w:p>
      <w:pPr>
        <w:pStyle w:val="Normal"/>
        <w:rPr/>
      </w:pPr>
      <w:r>
        <w:rPr/>
        <w:t>This is Team Echo's initial baseline for the Medicare integration requirements, dated 2026-08-25 (Milestone 1). No prior version exists, so the Requirements Change Log (Table 21) is empty for this milestone. Per Table 1, Track Changes is off for this initial submission. Beginning with Milestone 2, Track Changes will be enabled on this document and every edit made since the previous milestone will remain visible, consistent with project governance.</w:t>
      </w:r>
    </w:p>
    <w:p>
      <w:pPr>
        <w:pStyle w:val="Heading1"/>
        <w:rPr/>
      </w:pPr>
      <w:bookmarkStart w:id="72" w:name="__RefHeading___Toc10336_627777545"/>
      <w:bookmarkStart w:id="73" w:name="_Toc236656541"/>
      <w:bookmarkEnd w:id="72"/>
      <w:r>
        <w:rPr/>
        <w:t>5. Incremental Delivery Plan</w:t>
      </w:r>
      <w:bookmarkEnd w:id="73"/>
    </w:p>
    <w:p>
      <w:pPr>
        <w:pStyle w:val="Normal"/>
        <w:rPr/>
      </w:pPr>
      <w:r>
        <w:rPr/>
        <w:t>The syllabus treats each milestone as a self-contained mini-project delivering a working increment. This section states which requirements belong to which increment, so scope can be judged rather than guessed.</w:t>
      </w:r>
    </w:p>
    <w:p>
      <w:pPr>
        <w:pStyle w:val="Normal"/>
        <w:spacing w:before="150" w:after="40"/>
        <w:rPr/>
      </w:pPr>
      <w:r>
        <w:rPr>
          <w:b/>
          <w:bCs/>
        </w:rPr>
        <w:t>Figure 3</w:t>
      </w:r>
    </w:p>
    <w:p>
      <w:pPr>
        <w:pStyle w:val="Normal"/>
        <w:spacing w:before="0" w:after="60"/>
        <w:rPr/>
      </w:pPr>
      <w:r>
        <w:rPr>
          <w:i/>
          <w:iCs/>
        </w:rPr>
        <w:t>Feature Roadmap Across the Four Milestones</w:t>
      </w:r>
    </w:p>
    <w:p>
      <w:pPr>
        <w:pStyle w:val="Normal"/>
        <w:pBdr>
          <w:top w:val="dashed" w:sz="6" w:space="0" w:color="999999"/>
          <w:left w:val="dashed" w:sz="6" w:space="0" w:color="999999"/>
          <w:bottom w:val="dashed" w:sz="6" w:space="0" w:color="999999"/>
          <w:right w:val="dashed" w:sz="6" w:space="0" w:color="999999"/>
        </w:pBdr>
        <w:shd w:val="clear" w:color="auto" w:fill="F5F5F5"/>
        <w:spacing w:before="40" w:after="40"/>
        <w:jc w:val="center"/>
        <w:rPr/>
      </w:pPr>
      <w:r>
        <w:rPr/>
        <w:drawing>
          <wp:inline distT="0" distB="0" distL="0" distR="0">
            <wp:extent cx="5760720" cy="202374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7"/>
                    <a:stretch>
                      <a:fillRect/>
                    </a:stretch>
                  </pic:blipFill>
                  <pic:spPr bwMode="auto">
                    <a:xfrm>
                      <a:off x="0" y="0"/>
                      <a:ext cx="5760720" cy="2023745"/>
                    </a:xfrm>
                    <a:prstGeom prst="rect">
                      <a:avLst/>
                    </a:prstGeom>
                  </pic:spPr>
                </pic:pic>
              </a:graphicData>
            </a:graphic>
          </wp:inline>
        </w:drawing>
      </w:r>
    </w:p>
    <w:p>
      <w:pPr>
        <w:pStyle w:val="Normal"/>
        <w:spacing w:before="0" w:after="160"/>
        <w:rPr/>
      </w:pPr>
      <w:r>
        <w:rPr>
          <w:i/>
          <w:iCs/>
        </w:rPr>
        <w:t>Note. Milestone 1 delivers specification and feasibility work only, not working Medicare code (Section 1.2). Milestones 3 and 4 are not yet scoped by the team beyond the instructor briefing's general milestone themes; they will be filled in as the Project Plan is developed.</w:t>
      </w:r>
    </w:p>
    <w:p>
      <w:pPr>
        <w:pStyle w:val="Normal"/>
        <w:spacing w:before="150" w:after="40"/>
        <w:rPr/>
      </w:pPr>
      <w:r>
        <w:rPr>
          <w:b/>
          <w:bCs/>
        </w:rPr>
        <w:t>Table 22</w:t>
      </w:r>
    </w:p>
    <w:p>
      <w:pPr>
        <w:pStyle w:val="Normal"/>
        <w:spacing w:before="0" w:after="80"/>
        <w:rPr/>
      </w:pPr>
      <w:r>
        <w:rPr>
          <w:i/>
          <w:iCs/>
        </w:rPr>
        <w:t>Feature Roadmap</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199"/>
        <w:gridCol w:w="1199"/>
        <w:gridCol w:w="3261"/>
        <w:gridCol w:w="2199"/>
        <w:gridCol w:w="1502"/>
      </w:tblGrid>
      <w:tr>
        <w:trPr>
          <w:tblHeader w:val="true"/>
          <w:cantSplit w:val="true"/>
        </w:trPr>
        <w:tc>
          <w:tcPr>
            <w:tcW w:w="11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Milestone</w:t>
            </w:r>
          </w:p>
        </w:tc>
        <w:tc>
          <w:tcPr>
            <w:tcW w:w="11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Due date</w:t>
            </w:r>
          </w:p>
        </w:tc>
        <w:tc>
          <w:tcPr>
            <w:tcW w:w="326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Features in this increment</w:t>
            </w:r>
          </w:p>
        </w:tc>
        <w:tc>
          <w:tcPr>
            <w:tcW w:w="21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Requirement IDs</w:t>
            </w:r>
          </w:p>
        </w:tc>
        <w:tc>
          <w:tcPr>
            <w:tcW w:w="150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Status</w:t>
            </w:r>
          </w:p>
        </w:tc>
      </w:tr>
      <w:tr>
        <w:trPr>
          <w:cantSplit w:val="true"/>
        </w:trPr>
        <w:tc>
          <w:tcPr>
            <w:tcW w:w="1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M1</w:t>
            </w:r>
          </w:p>
        </w:tc>
        <w:tc>
          <w:tcPr>
            <w:tcW w:w="1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Aug 29, 2026</w:t>
            </w:r>
          </w:p>
        </w:tc>
        <w:tc>
          <w:tcPr>
            <w:tcW w:w="32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FEAT-01 Medicare Account Authentication and FEAT-02 Medicare Data Retrieval and Storage, specified only; architecture and Blue Button 2.0 feasibility investigation (the actual delivered work)</w:t>
            </w:r>
          </w:p>
        </w:tc>
        <w:tc>
          <w:tcPr>
            <w:tcW w:w="2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FR-MCR-01–FR-MCR-29, NFR-SEC-01–03, NFR-ACC-01/02/04–06, NFR-PERF-01</w:t>
            </w:r>
          </w:p>
        </w:tc>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Specified, not implemented (Section 1.2)</w:t>
            </w:r>
          </w:p>
        </w:tc>
      </w:tr>
      <w:tr>
        <w:trPr>
          <w:cantSplit w:val="true"/>
        </w:trPr>
        <w:tc>
          <w:tcPr>
            <w:tcW w:w="1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M2</w:t>
            </w:r>
          </w:p>
        </w:tc>
        <w:tc>
          <w:tcPr>
            <w:tcW w:w="1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Sep 19, 2026</w:t>
            </w:r>
          </w:p>
        </w:tc>
        <w:tc>
          <w:tcPr>
            <w:tcW w:w="326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FEAT-01/FEAT-02 implementation (working code, contingent on Medicare sandbox access, OQ-03); FEAT-03 Cross-Source Data Comparison specified (contingent on peer-team interfaces, OQ-04)</w:t>
            </w:r>
          </w:p>
        </w:tc>
        <w:tc>
          <w:tcPr>
            <w:tcW w:w="2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FR-MCR-01–29 (implementation), FR-XSRC-01–09, FR-MCR-12, FR-MCR-15, NFR-ACC-03</w:t>
            </w:r>
          </w:p>
        </w:tc>
        <w:tc>
          <w:tcPr>
            <w:tcW w:w="15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Planned</w:t>
            </w:r>
          </w:p>
        </w:tc>
      </w:tr>
      <w:tr>
        <w:trPr>
          <w:cantSplit w:val="true"/>
        </w:trPr>
        <w:tc>
          <w:tcPr>
            <w:tcW w:w="1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M3</w:t>
            </w:r>
          </w:p>
        </w:tc>
        <w:tc>
          <w:tcPr>
            <w:tcW w:w="1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Oct 10, 2026</w:t>
            </w:r>
          </w:p>
        </w:tc>
        <w:tc>
          <w:tcPr>
            <w:tcW w:w="32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Not yet scoped by the team; will be defined in the Project Plan when issued.</w:t>
            </w:r>
          </w:p>
        </w:tc>
        <w:tc>
          <w:tcPr>
            <w:tcW w:w="2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TBD</w:t>
            </w:r>
          </w:p>
        </w:tc>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Planned</w:t>
            </w:r>
          </w:p>
        </w:tc>
      </w:tr>
      <w:tr>
        <w:trPr>
          <w:cantSplit w:val="true"/>
        </w:trPr>
        <w:tc>
          <w:tcPr>
            <w:tcW w:w="1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M4</w:t>
            </w:r>
          </w:p>
        </w:tc>
        <w:tc>
          <w:tcPr>
            <w:tcW w:w="1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Nov 3, 2026</w:t>
            </w:r>
          </w:p>
        </w:tc>
        <w:tc>
          <w:tcPr>
            <w:tcW w:w="326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Not yet scoped by the team; will be defined in the Project Plan when issued.</w:t>
            </w:r>
          </w:p>
        </w:tc>
        <w:tc>
          <w:tcPr>
            <w:tcW w:w="2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TBD</w:t>
            </w:r>
          </w:p>
        </w:tc>
        <w:tc>
          <w:tcPr>
            <w:tcW w:w="15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Planned</w:t>
            </w:r>
          </w:p>
        </w:tc>
      </w:tr>
      <w:tr>
        <w:trPr>
          <w:cantSplit w:val="true"/>
        </w:trPr>
        <w:tc>
          <w:tcPr>
            <w:tcW w:w="1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Deferred</w:t>
            </w:r>
          </w:p>
        </w:tc>
        <w:tc>
          <w:tcPr>
            <w:tcW w:w="1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Future cohort</w:t>
            </w:r>
          </w:p>
        </w:tc>
        <w:tc>
          <w:tcPr>
            <w:tcW w:w="32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Any FEAT-03 work not completed by M4; peer EHR sources beyond Epic, Aetna, and Oracle Health</w:t>
            </w:r>
          </w:p>
        </w:tc>
        <w:tc>
          <w:tcPr>
            <w:tcW w:w="2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TBD</w:t>
            </w:r>
          </w:p>
        </w:tc>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Deferred</w:t>
            </w:r>
          </w:p>
        </w:tc>
      </w:tr>
    </w:tbl>
    <w:p>
      <w:pPr>
        <w:pStyle w:val="Normal"/>
        <w:spacing w:before="60" w:after="160"/>
        <w:rPr/>
      </w:pPr>
      <w:r>
        <w:rPr>
          <w:i/>
          <w:iCs/>
        </w:rPr>
        <w:t>Note. Update this table at every milestone. Moving a feature between rows is a change and belongs in the change log.</w:t>
      </w:r>
    </w:p>
    <w:p>
      <w:pPr>
        <w:pStyle w:val="Heading2"/>
        <w:rPr/>
      </w:pPr>
      <w:bookmarkStart w:id="74" w:name="__RefHeading___Toc10338_627777545"/>
      <w:bookmarkStart w:id="75" w:name="_Toc236656542"/>
      <w:bookmarkEnd w:id="74"/>
      <w:r>
        <w:rPr/>
        <w:t>5.1 Increment Acceptance</w:t>
      </w:r>
      <w:bookmarkEnd w:id="75"/>
    </w:p>
    <w:p>
      <w:pPr>
        <w:pStyle w:val="Normal"/>
        <w:rPr/>
      </w:pPr>
      <w:r>
        <w:rPr/>
        <w:t>For Milestone 1, Team Echo demonstrates: every team member running the inherited CareConnect application locally, with an environment screenshot, per the instructor briefing's Milestone 1 requirement; and the Medicare architecture and Blue Button 2.0 feasibility investigation artifacts (TDD Section 3, this SRS). No Medicare-specific end-user scenario is demonstrated at Milestone 1, because no Medicare feature has working code this milestone (Section 1.2). The first true Medicare end-to-end demonstration — a patient linking a Medicare account and viewing retrieved visit and billing records — is targeted for Milestone 2 (Sep 19, 2026), contingent on Medicare sandbox access (OQ-03).</w:t>
      </w:r>
    </w:p>
    <w:p>
      <w:pPr>
        <w:pStyle w:val="Heading2"/>
        <w:rPr/>
      </w:pPr>
      <w:bookmarkStart w:id="76" w:name="__RefHeading___Toc10340_627777545"/>
      <w:bookmarkStart w:id="77" w:name="_Toc236656543"/>
      <w:bookmarkEnd w:id="76"/>
      <w:r>
        <w:rPr/>
        <w:t>5.2 Deferred and Future Cohort Backlog</w:t>
      </w:r>
      <w:bookmarkEnd w:id="77"/>
    </w:p>
    <w:p>
      <w:pPr>
        <w:pStyle w:val="Normal"/>
        <w:spacing w:before="150" w:after="40"/>
        <w:rPr/>
      </w:pPr>
      <w:r>
        <w:rPr>
          <w:b/>
          <w:bCs/>
        </w:rPr>
        <w:t>Table 23</w:t>
      </w:r>
    </w:p>
    <w:p>
      <w:pPr>
        <w:pStyle w:val="Normal"/>
        <w:spacing w:before="0" w:after="80"/>
        <w:rPr/>
      </w:pPr>
      <w:r>
        <w:rPr>
          <w:i/>
          <w:iCs/>
        </w:rPr>
        <w:t>Deferred Requirements Backlog</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998"/>
        <w:gridCol w:w="2600"/>
        <w:gridCol w:w="2202"/>
        <w:gridCol w:w="1700"/>
        <w:gridCol w:w="1860"/>
      </w:tblGrid>
      <w:tr>
        <w:trPr>
          <w:tblHeader w:val="true"/>
          <w:cantSplit w:val="true"/>
        </w:trPr>
        <w:tc>
          <w:tcPr>
            <w:tcW w:w="9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ID</w:t>
            </w:r>
          </w:p>
        </w:tc>
        <w:tc>
          <w:tcPr>
            <w:tcW w:w="26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Requirement summary</w:t>
            </w:r>
          </w:p>
        </w:tc>
        <w:tc>
          <w:tcPr>
            <w:tcW w:w="220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Reason deferred</w:t>
            </w:r>
          </w:p>
        </w:tc>
        <w:tc>
          <w:tcPr>
            <w:tcW w:w="17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Priority when resumed</w:t>
            </w:r>
          </w:p>
        </w:tc>
        <w:tc>
          <w:tcPr>
            <w:tcW w:w="18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Notes for the next team</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FR-XSRC-01 to FR-XSRC-09</w:t>
            </w:r>
          </w:p>
        </w:tc>
        <w:tc>
          <w:tcPr>
            <w:tcW w:w="26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Cross-source reconciliation of Medicare data against peer EHR sources (FEAT-03)</w:t>
            </w:r>
          </w:p>
        </w:tc>
        <w:tc>
          <w:tcPr>
            <w:tcW w:w="22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Depends on peer-team interfaces that do not exist yet (OQ-04)</w:t>
            </w:r>
          </w:p>
        </w:tc>
        <w:tc>
          <w:tcPr>
            <w:tcW w:w="1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Must, when peer interfaces exist</w:t>
            </w:r>
          </w:p>
        </w:tc>
        <w:tc>
          <w:tcPr>
            <w:tcW w:w="18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Match/merge rule (FR-XSRC-01) is fully specified; no implementation has started</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FR-MCR-12</w:t>
            </w:r>
          </w:p>
        </w:tc>
        <w:tc>
          <w:tcPr>
            <w:tcW w:w="26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Re-authentication when the Medicare access token reaches its maximum lifetime</w:t>
            </w:r>
          </w:p>
        </w:tc>
        <w:tc>
          <w:tcPr>
            <w:tcW w:w="22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Citable source for the lifetime figure not yet confirmed (OQ-05)</w:t>
            </w:r>
          </w:p>
        </w:tc>
        <w:tc>
          <w:tcPr>
            <w:tcW w:w="1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Should</w:t>
            </w:r>
          </w:p>
        </w:tc>
        <w:tc>
          <w:tcPr>
            <w:tcW w:w="18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Currently written against an unconfirmed “13-month” figure from the client meeting</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FR-MCR-15</w:t>
            </w:r>
          </w:p>
        </w:tc>
        <w:tc>
          <w:tcPr>
            <w:tcW w:w="26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Storage of retrieved Medicare records conforming to FHIR resource definitions</w:t>
            </w:r>
          </w:p>
        </w:tc>
        <w:tc>
          <w:tcPr>
            <w:tcW w:w="22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FHIR resource set and version not yet confirmed (OQ-06)</w:t>
            </w:r>
          </w:p>
        </w:tc>
        <w:tc>
          <w:tcPr>
            <w:tcW w:w="1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Should</w:t>
            </w:r>
          </w:p>
        </w:tc>
        <w:tc>
          <w:tcPr>
            <w:tcW w:w="18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AS-02 (Section 2.7) already names a candidate pub.dev FHIR-R4 package</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NFR-ACC-03</w:t>
            </w:r>
          </w:p>
        </w:tc>
        <w:tc>
          <w:tcPr>
            <w:tcW w:w="26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Color-independent conveyance of cross-source delta status</w:t>
            </w:r>
          </w:p>
        </w:tc>
        <w:tc>
          <w:tcPr>
            <w:tcW w:w="22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Depends on the FEAT-03 delta display, which does not exist yet</w:t>
            </w:r>
          </w:p>
        </w:tc>
        <w:tc>
          <w:tcPr>
            <w:tcW w:w="1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Must, when FEAT-03 resumes</w:t>
            </w:r>
          </w:p>
        </w:tc>
        <w:tc>
          <w:tcPr>
            <w:tcW w:w="18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6"/>
              </w:rPr>
              <w:t>—</w:t>
            </w:r>
          </w:p>
        </w:tc>
      </w:tr>
    </w:tbl>
    <w:p>
      <w:pPr>
        <w:pStyle w:val="Normal"/>
        <w:spacing w:before="60" w:after="160"/>
        <w:rPr/>
      </w:pPr>
      <w:r>
        <w:rPr>
          <w:i/>
          <w:iCs/>
        </w:rPr>
        <w:t>Note. Deferred requirements keep their identifiers. The next cohort inherits this table as its starting backlog.</w:t>
      </w:r>
    </w:p>
    <w:p>
      <w:pPr>
        <w:pStyle w:val="Normal"/>
        <w:rPr/>
      </w:pPr>
      <w:r>
        <w:rPr/>
      </w:r>
      <w:r>
        <w:br w:type="page"/>
      </w:r>
    </w:p>
    <w:p>
      <w:pPr>
        <w:pStyle w:val="Heading1"/>
        <w:spacing w:before="0" w:after="150"/>
        <w:rPr/>
      </w:pPr>
      <w:bookmarkStart w:id="78" w:name="__RefHeading___Toc10342_627777545"/>
      <w:bookmarkStart w:id="79" w:name="_Toc236656544"/>
      <w:bookmarkEnd w:id="78"/>
      <w:r>
        <w:rPr/>
        <w:t>6. System Features and Functional Requirements</w:t>
      </w:r>
      <w:bookmarkEnd w:id="79"/>
    </w:p>
    <w:p>
      <w:pPr>
        <w:pStyle w:val="Normal"/>
        <w:rPr/>
      </w:pPr>
      <w:r>
        <w:rPr/>
        <w:t>Each feature is specified using the block below. Section 6.1 is a worked example showing the expected level of detail. Section 6.2 is the blank block. Copy it once per feature and number the features sequentially. This draft specifies all three known features (FEAT-01, FEAT-02, FEAT-03) rather than one worked example. Their tables were built with descriptive placeholder labels during drafting so the numbered tables in Sections 8 onward would not need to shift mid-draft; a single sequential renumbering pass at final assembly then replaced those labels with real numbers (Table 24 through Table 38) and shifted every downstream table to keep the whole document 1–66 with no gaps or duplicates.</w:t>
      </w:r>
    </w:p>
    <w:p>
      <w:pPr>
        <w:pStyle w:val="Heading2"/>
        <w:rPr/>
      </w:pPr>
      <w:bookmarkStart w:id="80" w:name="__RefHeading___Toc10344_627777545"/>
      <w:bookmarkEnd w:id="80"/>
      <w:r>
        <w:rPr/>
        <w:t>6.1 FEAT-01: Medicare Account Authentication</w:t>
      </w:r>
    </w:p>
    <w:p>
      <w:pPr>
        <w:pStyle w:val="Heading3"/>
        <w:rPr/>
      </w:pPr>
      <w:bookmarkStart w:id="81" w:name="__RefHeading___Toc10346_627777545"/>
      <w:bookmarkEnd w:id="81"/>
      <w:r>
        <w:rPr/>
        <w:t>6.1.1 Description and Priority</w:t>
      </w:r>
    </w:p>
    <w:p>
      <w:pPr>
        <w:pStyle w:val="Normal"/>
        <w:spacing w:before="0" w:after="160"/>
        <w:rPr/>
      </w:pPr>
      <w:r>
        <w:rPr>
          <w:i w:val="false"/>
        </w:rPr>
        <w:t>A patient connects their Medicare account to CareConnect so the application can retrieve their Medicare-derived information on their behalf. Authentication happens entirely on Medicare's own hosted page; CareConnect never collects, transmits, or stores the patient's Medicare password (NFR-SEC-01). Priority: Must. Milestone: specified in M1; no working code ships this milestone (Section 1.2).</w:t>
      </w:r>
    </w:p>
    <w:p>
      <w:pPr>
        <w:pStyle w:val="Heading3"/>
        <w:rPr/>
      </w:pPr>
      <w:bookmarkStart w:id="82" w:name="__RefHeading___Toc10348_627777545"/>
      <w:bookmarkEnd w:id="82"/>
      <w:r>
        <w:rPr/>
        <w:t>6.1.2 Use Case</w:t>
      </w:r>
    </w:p>
    <w:p>
      <w:pPr>
        <w:pStyle w:val="Normal"/>
        <w:spacing w:before="0" w:after="40"/>
        <w:rPr/>
      </w:pPr>
      <w:r>
        <w:rPr>
          <w:b/>
        </w:rPr>
        <w:t>Table 24</w:t>
      </w:r>
    </w:p>
    <w:p>
      <w:pPr>
        <w:pStyle w:val="Normal"/>
        <w:spacing w:before="0" w:after="200"/>
        <w:rPr/>
      </w:pPr>
      <w:r>
        <w:rPr>
          <w:i/>
        </w:rPr>
        <w:t>Use Case UC-01</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47"/>
        <w:gridCol w:w="6912"/>
      </w:tblGrid>
      <w:tr>
        <w:trPr>
          <w:cantSplit w:val="true"/>
        </w:trPr>
        <w:tc>
          <w:tcPr>
            <w:tcW w:w="2447"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Element</w:t>
            </w:r>
          </w:p>
        </w:tc>
        <w:tc>
          <w:tcPr>
            <w:tcW w:w="691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Content</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Use case ID and name</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UC-01 Link Medicare Account</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Primary actor</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Patient</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Preconditions</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User is authenticated in CareConnect.</w:t>
              <w:br/>
              <w:t>User has a valid Medicare account.</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Trigger</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User selects “Connect Medicare Account” in CareConnect.</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Main success scenario</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1. User selects “Connect Medicare Account.”</w:t>
              <w:br/>
              <w:t>2. CareConnect redirects the user to Medicare's hosted authentication page.</w:t>
              <w:br/>
              <w:t>3. User logs in and authorizes CareConnect on Medicare's page.</w:t>
              <w:br/>
              <w:t>4. Medicare redirects back to CareConnect with an authorization response.</w:t>
              <w:br/>
              <w:t>5. CareConnect exchanges the authorization response for an API access token.</w:t>
              <w:br/>
              <w:t>6. CareConnect stores the token, sets link state to Linked, and displays a confirmation.</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Alternate flows</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User abandons the linking flow before redirection to Medicare (FR-MCR-06) — account remains Unlinked. User denies or cancels authorization on Medicare's page (FR-MCR-05) — CareConnect returns to the Unlinked state; no token is stored.</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Exception flows</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Medicare's authentication endpoint does not respond within the configured timeout (FR-MCR-07, ERR-MCR-01) — linking terminated, account left Unlinked. Token exchange returns an error (FR-MCR-08, ERR-MCR-02) — same handling. Stored token later rejected as expired/invalid (FR-MCR-09, ERR-MCR-05) — link state set to Unlinked, re-link prompted.</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Postconditions</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Medicare account is linked; a valid API access token is stored for the user.</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Requirements realized</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FR-MCR-01, FR-MCR-02, FR-MCR-03, FR-MCR-04, FR-MCR-05, FR-MCR-06, FR-MCR-07, FR-MCR-08, FR-MCR-09, FR-MCR-10, FR-MCR-11, FR-MCR-25, FR-MCR-26</w:t>
            </w:r>
          </w:p>
        </w:tc>
      </w:tr>
    </w:tbl>
    <w:p>
      <w:pPr>
        <w:pStyle w:val="Normal"/>
        <w:spacing w:before="0" w:after="240"/>
        <w:rPr/>
      </w:pPr>
      <w:r>
        <w:rPr>
          <w:i/>
          <w:sz w:val="18"/>
        </w:rPr>
        <w:t>Note. Alternate and exception flows are where most defects live. A use case with only a happy path is incomplete.</w:t>
      </w:r>
    </w:p>
    <w:p>
      <w:pPr>
        <w:pStyle w:val="Normal"/>
        <w:spacing w:before="0" w:after="40"/>
        <w:rPr/>
      </w:pPr>
      <w:r>
        <w:rPr>
          <w:b/>
        </w:rPr>
        <w:t>Figure 4</w:t>
      </w:r>
    </w:p>
    <w:p>
      <w:pPr>
        <w:pStyle w:val="Normal"/>
        <w:spacing w:before="0" w:after="200"/>
        <w:rPr/>
      </w:pPr>
      <w:r>
        <w:rPr>
          <w:i/>
        </w:rPr>
        <w:t>Use Case Diagram — CareConnect Medicare Integration</w:t>
      </w:r>
    </w:p>
    <w:p>
      <w:pPr>
        <w:pStyle w:val="Normal"/>
        <w:jc w:val="center"/>
        <w:rPr/>
      </w:pPr>
      <w:r>
        <w:rPr/>
        <w:drawing>
          <wp:inline distT="0" distB="0" distL="0" distR="0">
            <wp:extent cx="5486400" cy="36004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8"/>
                    <a:stretch>
                      <a:fillRect/>
                    </a:stretch>
                  </pic:blipFill>
                  <pic:spPr bwMode="auto">
                    <a:xfrm>
                      <a:off x="0" y="0"/>
                      <a:ext cx="5486400" cy="3600450"/>
                    </a:xfrm>
                    <a:prstGeom prst="rect">
                      <a:avLst/>
                    </a:prstGeom>
                  </pic:spPr>
                </pic:pic>
              </a:graphicData>
            </a:graphic>
          </wp:inline>
        </w:drawing>
      </w:r>
    </w:p>
    <w:p>
      <w:pPr>
        <w:pStyle w:val="Normal"/>
        <w:spacing w:before="0" w:after="240"/>
        <w:rPr/>
      </w:pPr>
      <w:r>
        <w:rPr>
          <w:i/>
          <w:sz w:val="18"/>
        </w:rPr>
        <w:t>Note. One shared use-case diagram covers all three Medicare features. UC-01 and UC-02 are specified for Milestone 1 (no working code yet); UC-03 is specified but deferred to Milestone 2 (Section 5.2). The internal-staff "administer access" use case has no assigned requirement yet because the internal-staff role itself is unresolved (OQ-08).</w:t>
      </w:r>
    </w:p>
    <w:p>
      <w:pPr>
        <w:pStyle w:val="Normal"/>
        <w:spacing w:before="0" w:after="40"/>
        <w:rPr/>
      </w:pPr>
      <w:r>
        <w:rPr>
          <w:b/>
        </w:rPr>
        <w:t>Figure 5</w:t>
      </w:r>
    </w:p>
    <w:p>
      <w:pPr>
        <w:pStyle w:val="Normal"/>
        <w:spacing w:before="0" w:after="200"/>
        <w:rPr/>
      </w:pPr>
      <w:r>
        <w:rPr>
          <w:i/>
        </w:rPr>
        <w:t>Sequence Diagram — UC-01 Link Medicare Account and UC-02 View Medicare Data</w:t>
      </w:r>
    </w:p>
    <w:p>
      <w:pPr>
        <w:pStyle w:val="Normal"/>
        <w:jc w:val="center"/>
        <w:rPr/>
      </w:pPr>
      <w:r>
        <w:rPr/>
        <w:drawing>
          <wp:inline distT="0" distB="0" distL="0" distR="0">
            <wp:extent cx="5760720" cy="478218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9"/>
                    <a:stretch>
                      <a:fillRect/>
                    </a:stretch>
                  </pic:blipFill>
                  <pic:spPr bwMode="auto">
                    <a:xfrm>
                      <a:off x="0" y="0"/>
                      <a:ext cx="5760720" cy="4782185"/>
                    </a:xfrm>
                    <a:prstGeom prst="rect">
                      <a:avLst/>
                    </a:prstGeom>
                  </pic:spPr>
                </pic:pic>
              </a:graphicData>
            </a:graphic>
          </wp:inline>
        </w:drawing>
      </w:r>
    </w:p>
    <w:p>
      <w:pPr>
        <w:pStyle w:val="Normal"/>
        <w:spacing w:before="0" w:after="240"/>
        <w:rPr/>
      </w:pPr>
      <w:r>
        <w:rPr>
          <w:i/>
          <w:sz w:val="18"/>
        </w:rPr>
        <w:t>Note. This diagram, produced for TDD Section 3, walks both the linking flow (top) and the retrieval flow (bottom) through the same component chain, including the offline, rate-limit, empty-state, and role-scoping branches. No separate sequence diagram exists yet for UC-03; it is deferred along with the rest of FEAT-03 (Section 5.2).</w:t>
      </w:r>
    </w:p>
    <w:p>
      <w:pPr>
        <w:pStyle w:val="Heading3"/>
        <w:rPr/>
      </w:pPr>
      <w:bookmarkStart w:id="83" w:name="__RefHeading___Toc10350_627777545"/>
      <w:bookmarkEnd w:id="83"/>
      <w:r>
        <w:rPr/>
        <w:t>6.1.3 Stimulus and Response Sequences</w:t>
      </w:r>
    </w:p>
    <w:p>
      <w:pPr>
        <w:pStyle w:val="Normal"/>
        <w:spacing w:before="0" w:after="40"/>
        <w:rPr/>
      </w:pPr>
      <w:r>
        <w:rPr>
          <w:b/>
        </w:rPr>
        <w:t>Table 25</w:t>
      </w:r>
    </w:p>
    <w:p>
      <w:pPr>
        <w:pStyle w:val="Normal"/>
        <w:spacing w:before="0" w:after="200"/>
        <w:rPr/>
      </w:pPr>
      <w:r>
        <w:rPr>
          <w:i/>
        </w:rPr>
        <w:t>Stimulus and Response for FEAT-01</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10"/>
        <w:gridCol w:w="3888"/>
        <w:gridCol w:w="2162"/>
      </w:tblGrid>
      <w:tr>
        <w:trPr>
          <w:cantSplit w:val="true"/>
        </w:trPr>
        <w:tc>
          <w:tcPr>
            <w:tcW w:w="331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Stimulus</w:t>
            </w:r>
          </w:p>
        </w:tc>
        <w:tc>
          <w:tcPr>
            <w:tcW w:w="3888"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System response</w:t>
            </w:r>
          </w:p>
        </w:tc>
        <w:tc>
          <w:tcPr>
            <w:tcW w:w="216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Requirement</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User selects “Connect Medicare Account”</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CareConnect redirects to Medicare's hosted authentication page</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FR-MCR-01</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User abandons linking before redirection (negative case)</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CareConnect leaves the account Unlinked; no authorization request sent to Medicare</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FR-MCR-06</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User denies/cancels authorization on Medicare's page (negative case)</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CareConnect returns to the Unlinked state; no token stored; user notified</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FR-MCR-05</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Medicare authentication endpoint does not respond within the timeout (dependency failure)</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CareConnect terminates linking with ERR-MCR-01 and stores no token</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FR-MCR-07</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Token exchange returns an error response (dependency failure)</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CareConnect terminates linking with ERR-MCR-02 and stores no token</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FR-MCR-08</w:t>
            </w:r>
          </w:p>
        </w:tc>
      </w:tr>
    </w:tbl>
    <w:p>
      <w:pPr>
        <w:pStyle w:val="Normal"/>
        <w:spacing w:before="0" w:after="240"/>
        <w:rPr/>
      </w:pPr>
      <w:r>
        <w:rPr>
          <w:i/>
          <w:sz w:val="18"/>
        </w:rPr>
        <w:t>Note. Includes at least one invalid-input row and one dependency-failure row, per the template convention.</w:t>
      </w:r>
    </w:p>
    <w:p>
      <w:pPr>
        <w:pStyle w:val="Heading3"/>
        <w:rPr/>
      </w:pPr>
      <w:bookmarkStart w:id="84" w:name="__RefHeading___Toc10352_627777545"/>
      <w:bookmarkEnd w:id="84"/>
      <w:r>
        <w:rPr/>
        <w:t>6.1.4 Functional Requirements</w:t>
      </w:r>
    </w:p>
    <w:p>
      <w:pPr>
        <w:pStyle w:val="Normal"/>
        <w:spacing w:before="0" w:after="40"/>
        <w:rPr/>
      </w:pPr>
      <w:r>
        <w:rPr>
          <w:b/>
        </w:rPr>
        <w:t>Table 26</w:t>
      </w:r>
    </w:p>
    <w:p>
      <w:pPr>
        <w:pStyle w:val="Normal"/>
        <w:spacing w:before="0" w:after="200"/>
        <w:rPr/>
      </w:pPr>
      <w:r>
        <w:rPr>
          <w:i/>
        </w:rPr>
        <w:t>Functional Requirements for FEAT-01</w:t>
      </w:r>
    </w:p>
    <w:tbl>
      <w:tblPr>
        <w:tblW w:w="94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24"/>
        <w:gridCol w:w="3673"/>
        <w:gridCol w:w="792"/>
        <w:gridCol w:w="720"/>
        <w:gridCol w:w="576"/>
        <w:gridCol w:w="936"/>
        <w:gridCol w:w="719"/>
        <w:gridCol w:w="790"/>
      </w:tblGrid>
      <w:tr>
        <w:trPr>
          <w:cantSplit w:val="true"/>
        </w:trPr>
        <w:tc>
          <w:tcPr>
            <w:tcW w:w="122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ID</w:t>
            </w:r>
          </w:p>
        </w:tc>
        <w:tc>
          <w:tcPr>
            <w:tcW w:w="3673"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Requirement (shall statement)</w:t>
            </w:r>
          </w:p>
        </w:tc>
        <w:tc>
          <w:tcPr>
            <w:tcW w:w="79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Source</w:t>
            </w:r>
          </w:p>
        </w:tc>
        <w:tc>
          <w:tcPr>
            <w:tcW w:w="72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Pri</w:t>
            </w:r>
          </w:p>
        </w:tc>
        <w:tc>
          <w:tcPr>
            <w:tcW w:w="576"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MS</w:t>
            </w:r>
          </w:p>
        </w:tc>
        <w:tc>
          <w:tcPr>
            <w:tcW w:w="936"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Status</w:t>
            </w:r>
          </w:p>
        </w:tc>
        <w:tc>
          <w:tcPr>
            <w:tcW w:w="719"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Owner</w:t>
            </w:r>
          </w:p>
        </w:tc>
        <w:tc>
          <w:tcPr>
            <w:tcW w:w="79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Verif.</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FR-MCR-01</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redirect the user to the Medicare-hosted authentication endpoint [TBD-01] when the user activates the Connect Medicare Account control.</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SRC-01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FR-MCR-02</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exchange the authorization response returned by Medicare at the CareConnect callback endpoint for a Medicare API access token [TBD-02].</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SRC-01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FR-MCR-03</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persist the issued access token and set the patient's Medicare link state to Linked.</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SRC-01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FR-MCR-04</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display a Medicare account connected confirmation when the link state becomes Linked.</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SRC-01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FR-MCR-05</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When the Medicare authorization callback reports that the user denied or cancelled authorization, the system shall leave the patient's Medicare account in the Unlinked state with no stored access token.</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FR-MCR-06</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allow the user to abandon the linking flow before redirection to Medicare, leaving the account in the Unlinked state.</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Should</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FR-MCR-07</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If the Medicare authentication endpoint does not respond within [PROPOSED: 10 seconds], the system shall terminate the linking attempt with error ERR-MCR-01 and leave the account Unlinked with no stored access token.</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FR-MCR-08</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If the token exchange request returns an error response, the system shall terminate the linking attempt with error ERR-MCR-02 and leave the account Unlinked with no stored access token.</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FR-MCR-09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When a stored access token is rejected by Medicare as expired or invalid, the system shall set the link state to Unlinked and display ERR-MCR-05 prompting the patient to re-link.</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FR-MCR-10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allow a patient to unlink their Medicare account.</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FR-MCR-11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On unlink, the system shall delete the stored access token and all stored Medicare data for that patient before returning the unlink confirmation.</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FR-MCR-25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display a loading indicator while a Medicare linking request is in progress.</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CRS-01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FR-MCR-26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When the device has no network connection, the system shall not initiate linking and shall display ERR-MCR-04.</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CRS-01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bl>
    <w:p>
      <w:pPr>
        <w:pStyle w:val="Normal"/>
        <w:spacing w:before="0" w:after="240"/>
        <w:rPr/>
      </w:pPr>
      <w:r>
        <w:rPr>
          <w:i/>
          <w:sz w:val="18"/>
        </w:rPr>
        <w:t>Note. One obligation per requirement. Source, Priority (Pri), Milestone (MS), Status, Owner, and Verification method (Verif.) are the attribute set required by Table 18 (Section 4.1).</w:t>
      </w:r>
    </w:p>
    <w:p>
      <w:pPr>
        <w:pStyle w:val="Heading3"/>
        <w:rPr/>
      </w:pPr>
      <w:bookmarkStart w:id="85" w:name="__RefHeading___Toc10354_627777545"/>
      <w:bookmarkEnd w:id="85"/>
      <w:r>
        <w:rPr/>
        <w:t>6.1.5 Acceptance Criteria</w:t>
      </w:r>
    </w:p>
    <w:p>
      <w:pPr>
        <w:pStyle w:val="Normal"/>
        <w:spacing w:before="0" w:after="40"/>
        <w:rPr/>
      </w:pPr>
      <w:r>
        <w:rPr>
          <w:b/>
        </w:rPr>
        <w:t>Table 27</w:t>
      </w:r>
    </w:p>
    <w:p>
      <w:pPr>
        <w:pStyle w:val="Normal"/>
        <w:spacing w:before="0" w:after="200"/>
        <w:rPr/>
      </w:pPr>
      <w:r>
        <w:rPr>
          <w:i/>
        </w:rPr>
        <w:t>Acceptance Criteria for FEAT-01</w:t>
      </w:r>
    </w:p>
    <w:tbl>
      <w:tblPr>
        <w:tblW w:w="96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94"/>
        <w:gridCol w:w="1082"/>
        <w:gridCol w:w="2231"/>
        <w:gridCol w:w="1872"/>
        <w:gridCol w:w="2304"/>
        <w:gridCol w:w="864"/>
      </w:tblGrid>
      <w:tr>
        <w:trPr>
          <w:cantSplit w:val="true"/>
        </w:trPr>
        <w:tc>
          <w:tcPr>
            <w:tcW w:w="129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AC ID</w:t>
            </w:r>
          </w:p>
        </w:tc>
        <w:tc>
          <w:tcPr>
            <w:tcW w:w="108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Requirement</w:t>
            </w:r>
          </w:p>
        </w:tc>
        <w:tc>
          <w:tcPr>
            <w:tcW w:w="2231"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Given</w:t>
            </w:r>
          </w:p>
        </w:tc>
        <w:tc>
          <w:tcPr>
            <w:tcW w:w="187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When</w:t>
            </w:r>
          </w:p>
        </w:tc>
        <w:tc>
          <w:tcPr>
            <w:tcW w:w="230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Then</w:t>
            </w:r>
          </w:p>
        </w:tc>
        <w:tc>
          <w:tcPr>
            <w:tcW w:w="86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Test case</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AC-MCR-01-1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FR-MCR-01</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authenticated in CareConnect whose Medicare link state is Unlinked</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activates Connect Medicare Account</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browser is at the Medicare-hosted authentication host [TBD-01];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TC-20.1</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AC-MCR-01-2</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FR-MCR-01</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authenticated in CareConnect whose Medicare link state is Unlinked</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activates Connect Medicare Account</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No CareConnect-rendered screen in the flow presents a Medicare password field;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TC-20.2</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AC-MCR-02-1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FR-MCR-02</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has authorized CareConnect on Medicare's page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Medicare redirects to the CareConnect callback with an authorization response</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CareConnect issues exactly one token-exchange request to Medicare;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TC-20.3</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AC-MCR-03-1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FR-MCR-03</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token has been issued for the patient</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signs out and signs back in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Medicare link state reads Linked without a further authorization round trip;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TC-20.4</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AC-MCR-04-1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FR-MCR-04</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Medicare link state has just become Linked</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views the linking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screen displays the text “Medicare account connected”;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TC-20.5</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AC-MCR-05-1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FR-MCR-05</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on Medicare's authentication page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denies authorization and Medicare returns to the callback</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link state reads Unlinked and the Connect Medicare Account control is still offered;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TC-20.6</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AC-MCR-05-2</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FR-MCR-05</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who has denied authorization</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Medicare data request is attempted for that patient</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request fails with ERR-MCR-05 rather than using a stored token;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TC-20.7</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AC-MCR-06-1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FR-MCR-06</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on the CareConnect linking screen before redirection</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activates Cancel</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link state reads Unlinked and no authorization request was sent to Medicare;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TC-20.8</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AC-MCR-07-1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FR-MCR-07</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Medicare authentication endpoint is unresponsive (test double)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activates Connect Medicare Account</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Within [PROPOSED: 10 seconds] the screen displays ERR-MCR-01 with the message text in §8.6</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TC-20.9</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AC-MCR-07-2</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FR-MCR-07</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Medicare authentication endpoint is unresponsive (test double)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timeout elapses</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link state reads Unlinked and no token record exists for the patient;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TC-20.10</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AC-MCR-08-1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FR-MCR-08</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token-exchange endpoint returns an error (test double)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CareConnect attempts the exchange</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screen displays ERR-MCR-02 with the message text in §8.6;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TC-20.11</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AC-MCR-08-2</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FR-MCR-08</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token-exchange endpoint returns an error (test double)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CareConnect attempts the exchange</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No token record exists for the patient and the link state reads Unlinked;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TC-20.12</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AC-MCR-09-1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FR-MCR-09</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with a stored token that Medicare rejects as expired</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Medicare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screen displays ERR-MCR-05 and offers a re-link control;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TC-20.13</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AC-MCR-09-2</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FR-MCR-09</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whose token has just been rejected as expired</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reopens the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link state reads Unlinked; no further Medicare API call is attempted with the rejected token;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TC-20.14</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AC-MCR-10-1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FR-MCR-10</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whose Medicare link state is Linked</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activates Unlink and confirms</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link state reads Unlinked;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TC-20.15</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AC-MCR-11-1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FR-MCR-11</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with a stored token and stored Medicare records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completes Unlink</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No token record and no Medicare record exists for that patient at the moment the confirmation is displayed;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TC-20.16</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AC-MCR-11-2</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FR-MCR-11</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who has unlinked</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reopens the Medicare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screen shows the unlinked state and no previously retrieved Medicare data;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TC-20.17</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AC-MCR-25-1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FR-MCR-25</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on the linking screen</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activates Connect Medicare Account and the response is delayed</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loading indicator is visible for the full duration of the pending request;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TC-20.18</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AC-MCR-26-1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FR-MCR-26</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device with no network connection</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activates Connect Medicare Account</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screen displays ERR-MCR-04, no redirect occurs, and the link state reads Unlinked;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TC-20.19</w:t>
            </w:r>
          </w:p>
        </w:tc>
      </w:tr>
    </w:tbl>
    <w:p>
      <w:pPr>
        <w:pStyle w:val="Normal"/>
        <w:spacing w:before="0" w:after="240"/>
        <w:rPr/>
      </w:pPr>
      <w:r>
        <w:rPr>
          <w:i/>
          <w:sz w:val="18"/>
        </w:rPr>
        <w:t>Note. Every Must requirement has at least one positive and one negative acceptance criterion. Flag — not yet resolved: several Then clauses below read “...; verified in M1,” inherited verbatim from the requirements workbook. No FR-MCR acceptance criterion has actually been verified as of this draft (Section 1.2, OQ-10); the “verified in M1” language is the workbook's own wording and has not been edited here, so the conflict stays visible rather than silently fixed.</w:t>
      </w:r>
    </w:p>
    <w:p>
      <w:pPr>
        <w:pStyle w:val="Heading3"/>
        <w:rPr/>
      </w:pPr>
      <w:bookmarkStart w:id="86" w:name="__RefHeading___Toc10356_627777545"/>
      <w:bookmarkEnd w:id="86"/>
      <w:r>
        <w:rPr/>
        <w:t>6.1.6 Business Rules Applied</w:t>
      </w:r>
    </w:p>
    <w:p>
      <w:pPr>
        <w:pStyle w:val="Normal"/>
        <w:spacing w:before="0" w:after="160"/>
        <w:rPr/>
      </w:pPr>
      <w:r>
        <w:rPr>
          <w:i w:val="false"/>
        </w:rPr>
        <w:t>No business rule identifiers from Section 10 apply to this feature as of this draft; Section 10 has not yet been populated with project-specific rules.</w:t>
      </w:r>
    </w:p>
    <w:p>
      <w:pPr>
        <w:pStyle w:val="Heading3"/>
        <w:rPr/>
      </w:pPr>
      <w:bookmarkStart w:id="87" w:name="__RefHeading___Toc10358_627777545"/>
      <w:bookmarkEnd w:id="87"/>
      <w:r>
        <w:rPr/>
        <w:t>6.1.7 Error Conditions</w:t>
      </w:r>
    </w:p>
    <w:p>
      <w:pPr>
        <w:pStyle w:val="Normal"/>
        <w:spacing w:before="0" w:after="40"/>
        <w:rPr/>
      </w:pPr>
      <w:r>
        <w:rPr>
          <w:b/>
        </w:rPr>
        <w:t>Table 28</w:t>
      </w:r>
    </w:p>
    <w:p>
      <w:pPr>
        <w:pStyle w:val="Normal"/>
        <w:spacing w:before="0" w:after="200"/>
        <w:rPr/>
      </w:pPr>
      <w:r>
        <w:rPr>
          <w:i/>
        </w:rPr>
        <w:t>Error Conditions Raised by This Feature</w:t>
      </w:r>
    </w:p>
    <w:tbl>
      <w:tblPr>
        <w:tblW w:w="95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50"/>
        <w:gridCol w:w="2738"/>
        <w:gridCol w:w="2160"/>
        <w:gridCol w:w="2734"/>
        <w:gridCol w:w="722"/>
      </w:tblGrid>
      <w:tr>
        <w:trPr>
          <w:cantSplit w:val="true"/>
        </w:trPr>
        <w:tc>
          <w:tcPr>
            <w:tcW w:w="11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Error ID</w:t>
            </w:r>
          </w:p>
        </w:tc>
        <w:tc>
          <w:tcPr>
            <w:tcW w:w="2738"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Condition</w:t>
            </w:r>
          </w:p>
        </w:tc>
        <w:tc>
          <w:tcPr>
            <w:tcW w:w="216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System behavior</w:t>
            </w:r>
          </w:p>
        </w:tc>
        <w:tc>
          <w:tcPr>
            <w:tcW w:w="273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User-visible message</w:t>
            </w:r>
          </w:p>
        </w:tc>
        <w:tc>
          <w:tcPr>
            <w:tcW w:w="72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Logged?</w:t>
            </w:r>
          </w:p>
        </w:tc>
      </w:tr>
      <w:tr>
        <w:trPr>
          <w:cantSplit w:val="true"/>
        </w:trPr>
        <w:tc>
          <w:tcPr>
            <w:tcW w:w="115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ERR-MCR-01</w:t>
            </w:r>
          </w:p>
        </w:tc>
        <w:tc>
          <w:tcPr>
            <w:tcW w:w="273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Medicare authentication endpoint unreachable or exceeds timeout</w:t>
            </w:r>
          </w:p>
        </w:tc>
        <w:tc>
          <w:tcPr>
            <w:tcW w:w="216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Terminate linking; leave Unlinked</w:t>
            </w:r>
          </w:p>
        </w:tc>
        <w:tc>
          <w:tcPr>
            <w:tcW w:w="273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t>
            </w:r>
            <w:r>
              <w:rPr>
                <w:b w:val="false"/>
                <w:i w:val="false"/>
                <w:sz w:val="14"/>
              </w:rPr>
              <w:t>We couldn't reach Medicare. Try connecting again in a few minutes.”</w:t>
            </w:r>
          </w:p>
        </w:tc>
        <w:tc>
          <w:tcPr>
            <w:tcW w:w="7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Yes</w:t>
            </w:r>
          </w:p>
        </w:tc>
      </w:tr>
      <w:tr>
        <w:trPr>
          <w:cantSplit w:val="true"/>
        </w:trPr>
        <w:tc>
          <w:tcPr>
            <w:tcW w:w="115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ERR-MCR-02</w:t>
            </w:r>
          </w:p>
        </w:tc>
        <w:tc>
          <w:tcPr>
            <w:tcW w:w="273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Token exchange returns an error response</w:t>
            </w:r>
          </w:p>
        </w:tc>
        <w:tc>
          <w:tcPr>
            <w:tcW w:w="216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Terminate linking; store no token</w:t>
            </w:r>
          </w:p>
        </w:tc>
        <w:tc>
          <w:tcPr>
            <w:tcW w:w="273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t>
            </w:r>
            <w:r>
              <w:rPr>
                <w:b w:val="false"/>
                <w:i w:val="false"/>
                <w:sz w:val="14"/>
              </w:rPr>
              <w:t>Medicare couldn't complete the connection. Try connecting again.”</w:t>
            </w:r>
          </w:p>
        </w:tc>
        <w:tc>
          <w:tcPr>
            <w:tcW w:w="7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Yes</w:t>
            </w:r>
          </w:p>
        </w:tc>
      </w:tr>
      <w:tr>
        <w:trPr>
          <w:cantSplit w:val="true"/>
        </w:trPr>
        <w:tc>
          <w:tcPr>
            <w:tcW w:w="115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ERR-MCR-04</w:t>
            </w:r>
          </w:p>
        </w:tc>
        <w:tc>
          <w:tcPr>
            <w:tcW w:w="273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Device has no network connection at link initiation</w:t>
            </w:r>
          </w:p>
        </w:tc>
        <w:tc>
          <w:tcPr>
            <w:tcW w:w="216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Do not redirect</w:t>
            </w:r>
          </w:p>
        </w:tc>
        <w:tc>
          <w:tcPr>
            <w:tcW w:w="273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t>
            </w:r>
            <w:r>
              <w:rPr>
                <w:b w:val="false"/>
                <w:i w:val="false"/>
                <w:sz w:val="14"/>
              </w:rPr>
              <w:t>You need an internet connection to connect your Medicare account.”</w:t>
            </w:r>
          </w:p>
        </w:tc>
        <w:tc>
          <w:tcPr>
            <w:tcW w:w="7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No</w:t>
            </w:r>
          </w:p>
        </w:tc>
      </w:tr>
      <w:tr>
        <w:trPr>
          <w:cantSplit w:val="true"/>
        </w:trPr>
        <w:tc>
          <w:tcPr>
            <w:tcW w:w="115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ERR-MCR-05</w:t>
            </w:r>
          </w:p>
        </w:tc>
        <w:tc>
          <w:tcPr>
            <w:tcW w:w="273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Stored token rejected as expired or invalid</w:t>
            </w:r>
          </w:p>
        </w:tc>
        <w:tc>
          <w:tcPr>
            <w:tcW w:w="216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Set Unlinked; prompt re-link</w:t>
            </w:r>
          </w:p>
        </w:tc>
        <w:tc>
          <w:tcPr>
            <w:tcW w:w="273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t>
            </w:r>
            <w:r>
              <w:rPr>
                <w:b w:val="false"/>
                <w:i w:val="false"/>
                <w:sz w:val="14"/>
              </w:rPr>
              <w:t>Your Medicare connection has expired. Connect again to see current records.”</w:t>
            </w:r>
          </w:p>
        </w:tc>
        <w:tc>
          <w:tcPr>
            <w:tcW w:w="7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Yes</w:t>
            </w:r>
          </w:p>
        </w:tc>
      </w:tr>
    </w:tbl>
    <w:p>
      <w:pPr>
        <w:pStyle w:val="Heading2"/>
        <w:rPr/>
      </w:pPr>
      <w:bookmarkStart w:id="88" w:name="__RefHeading___Toc10360_627777545"/>
      <w:bookmarkEnd w:id="88"/>
      <w:r>
        <w:rPr/>
        <w:t>6.2 FEAT-02: Medicare Data Retrieval and Storage</w:t>
      </w:r>
    </w:p>
    <w:p>
      <w:pPr>
        <w:pStyle w:val="Heading3"/>
        <w:rPr/>
      </w:pPr>
      <w:bookmarkStart w:id="89" w:name="__RefHeading___Toc10362_627777545"/>
      <w:bookmarkEnd w:id="89"/>
      <w:r>
        <w:rPr/>
        <w:t>6.2.1 Description and Priority</w:t>
      </w:r>
    </w:p>
    <w:p>
      <w:pPr>
        <w:pStyle w:val="Normal"/>
        <w:spacing w:before="0" w:after="160"/>
        <w:rPr/>
      </w:pPr>
      <w:r>
        <w:rPr>
          <w:i w:val="false"/>
        </w:rPr>
        <w:t>Once a Medicare account is linked (FEAT-01), CareConnect retrieves the beneficiary's visit and billing records from Medicare, stores them, and displays them to the patient and to caregivers authorized for that patient. Retrieval always shows previously stored records first and refreshes in the background, so the screen is never blank while a network call is in flight. Priority: Must. Milestone: specified in M1; no working code ships this milestone (Section 1.2).</w:t>
      </w:r>
    </w:p>
    <w:p>
      <w:pPr>
        <w:pStyle w:val="Heading3"/>
        <w:rPr/>
      </w:pPr>
      <w:bookmarkStart w:id="90" w:name="__RefHeading___Toc10364_627777545"/>
      <w:bookmarkEnd w:id="90"/>
      <w:r>
        <w:rPr/>
        <w:t>6.2.2 Use Case</w:t>
      </w:r>
    </w:p>
    <w:p>
      <w:pPr>
        <w:pStyle w:val="Normal"/>
        <w:spacing w:before="0" w:after="40"/>
        <w:rPr/>
      </w:pPr>
      <w:r>
        <w:rPr>
          <w:b/>
        </w:rPr>
        <w:t>Table 29</w:t>
      </w:r>
    </w:p>
    <w:p>
      <w:pPr>
        <w:pStyle w:val="Normal"/>
        <w:spacing w:before="0" w:after="200"/>
        <w:rPr/>
      </w:pPr>
      <w:r>
        <w:rPr>
          <w:i/>
        </w:rPr>
        <w:t>Use Case UC-02</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47"/>
        <w:gridCol w:w="6912"/>
      </w:tblGrid>
      <w:tr>
        <w:trPr>
          <w:cantSplit w:val="true"/>
        </w:trPr>
        <w:tc>
          <w:tcPr>
            <w:tcW w:w="2447"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Element</w:t>
            </w:r>
          </w:p>
        </w:tc>
        <w:tc>
          <w:tcPr>
            <w:tcW w:w="691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Content</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Use case ID and name</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UC-02 View Medicare Data</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Primary actor</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Patient / caregiver assigned to that patient</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Preconditions</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Medicare account linked (FEAT-01 complete); valid stored access token</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Trigger</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User navigates to the Medicare records screen, or CareConnect performs a background refresh</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Main success scenario</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1. User navigates to the Medicare records screen.</w:t>
              <w:br/>
              <w:t>2. CareConnect renders any previously stored records immediately (FR-MCR-20).</w:t>
              <w:br/>
              <w:t>3. CareConnect calls the Medicare API in the background using the stored token.</w:t>
              <w:br/>
              <w:t>4. Medicare returns visit and billing records.</w:t>
              <w:br/>
              <w:t>5. CareConnect stores the retrieved records and updates the displayed retrieval timestamp (FR-MCR-19, FR-MCR-21).</w:t>
              <w:br/>
              <w:t>6. CareConnect displays the records to the user, scoped to what that user is permitted to see.</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Alternate flows</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No stored records exist yet (first retrieval) — the loading state (FR-MCR-27) is shown instead of stored data while the initial call completes. Stored records are older than [PROPOSED: 24 hours] — a refresh is triggered automatically (FR-MCR-22).</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Exception flows</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Stored token expired/revoked (FR-MCR-09, ERR-MCR-05) — user prompted to re-link. Caregiver or patient requests data they are not authorized for (FR-MCR-16/17/18, ERR-05) — request rejected by backend authorization. Medicare API returns a rate-limit response (FR-MCR-23, ERR pending) — CareConnect retries per policy. Retries exhausted or Medicare unavailable (FR-MCR-24, ERR-MCR-03) — stored records shown with a refresh-failed indicator, screen never blank. Linked account with zero records returned (FR-MCR-28) — empty state shown, screen never blank. Device offline (FR-MCR-29) — stored records shown with an offline indicator.</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Postconditions</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Retrieved Medicare data is stored and visible to authorized users.</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Requirements realized</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FR-MCR-13, FR-MCR-14, FR-MCR-15, FR-MCR-16, FR-MCR-17, FR-MCR-18, FR-MCR-19, FR-MCR-20, FR-MCR-21, FR-MCR-22, FR-MCR-23, FR-MCR-24, FR-MCR-27, FR-MCR-28, FR-MCR-29</w:t>
            </w:r>
          </w:p>
        </w:tc>
      </w:tr>
    </w:tbl>
    <w:p>
      <w:pPr>
        <w:pStyle w:val="Normal"/>
        <w:spacing w:before="0" w:after="240"/>
        <w:rPr/>
      </w:pPr>
      <w:r>
        <w:rPr>
          <w:i/>
          <w:sz w:val="18"/>
        </w:rPr>
        <w:t>Note. Alternate and exception flows are where most defects live. A use case with only a happy path is incomplete.</w:t>
      </w:r>
    </w:p>
    <w:p>
      <w:pPr>
        <w:pStyle w:val="Normal"/>
        <w:spacing w:before="0" w:after="240"/>
        <w:rPr/>
      </w:pPr>
      <w:r>
        <w:rPr>
          <w:i/>
          <w:sz w:val="18"/>
        </w:rPr>
        <w:t>Note. Figure 4 (Section 6.1.2) and Figure 5 (Section 6.1.2) already cover this use case's actors and sequence; they are not reproduced a second time here.</w:t>
      </w:r>
    </w:p>
    <w:p>
      <w:pPr>
        <w:pStyle w:val="Heading3"/>
        <w:rPr/>
      </w:pPr>
      <w:bookmarkStart w:id="91" w:name="__RefHeading___Toc10366_627777545"/>
      <w:bookmarkEnd w:id="91"/>
      <w:r>
        <w:rPr/>
        <w:t>6.2.3 Stimulus and Response Sequences</w:t>
      </w:r>
    </w:p>
    <w:p>
      <w:pPr>
        <w:pStyle w:val="Normal"/>
        <w:spacing w:before="0" w:after="40"/>
        <w:rPr/>
      </w:pPr>
      <w:r>
        <w:rPr>
          <w:b/>
        </w:rPr>
        <w:t>Table 30</w:t>
      </w:r>
    </w:p>
    <w:p>
      <w:pPr>
        <w:pStyle w:val="Normal"/>
        <w:spacing w:before="0" w:after="200"/>
        <w:rPr/>
      </w:pPr>
      <w:r>
        <w:rPr>
          <w:i/>
        </w:rPr>
        <w:t>Stimulus and Response for FEAT-02</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10"/>
        <w:gridCol w:w="3888"/>
        <w:gridCol w:w="2162"/>
      </w:tblGrid>
      <w:tr>
        <w:trPr>
          <w:cantSplit w:val="true"/>
        </w:trPr>
        <w:tc>
          <w:tcPr>
            <w:tcW w:w="331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Stimulus</w:t>
            </w:r>
          </w:p>
        </w:tc>
        <w:tc>
          <w:tcPr>
            <w:tcW w:w="3888"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System response</w:t>
            </w:r>
          </w:p>
        </w:tc>
        <w:tc>
          <w:tcPr>
            <w:tcW w:w="216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Requirement</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User opens the Medicare records screen with a valid linked account and stored records</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CareConnect renders stored records immediately, then refreshes in the background</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FR-MCR-19, FR-MCR-20</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Caregiver requests Medicare data for a patient not assigned to them (negative case)</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Request rejected by backend authorization; no data returned</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FR-MCR-16, FR-MCR-17</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Linked account returns zero Medicare records (edge case)</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Empty state displayed; screen is not blank</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FR-MCR-28</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Medicare API returns a rate-limit response (dependency failure)</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CareConnect retries per policy, then shows stored records with a refresh-failed indicator if retries are exhausted</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FR-MCR-23, FR-MCR-24</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Device has no network connection (degraded mode)</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Stored records displayed with an offline indicator</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FR-MCR-29</w:t>
            </w:r>
          </w:p>
        </w:tc>
      </w:tr>
    </w:tbl>
    <w:p>
      <w:pPr>
        <w:pStyle w:val="Normal"/>
        <w:spacing w:before="0" w:after="240"/>
        <w:rPr/>
      </w:pPr>
      <w:r>
        <w:rPr>
          <w:i/>
          <w:sz w:val="18"/>
        </w:rPr>
        <w:t>Note. Includes at least one invalid-input row and one dependency-failure row, per the template convention.</w:t>
      </w:r>
    </w:p>
    <w:p>
      <w:pPr>
        <w:pStyle w:val="Heading3"/>
        <w:rPr/>
      </w:pPr>
      <w:bookmarkStart w:id="92" w:name="__RefHeading___Toc10368_627777545"/>
      <w:bookmarkEnd w:id="92"/>
      <w:r>
        <w:rPr/>
        <w:t>6.2.4 Functional Requirements</w:t>
      </w:r>
    </w:p>
    <w:p>
      <w:pPr>
        <w:pStyle w:val="Normal"/>
        <w:spacing w:before="0" w:after="40"/>
        <w:rPr/>
      </w:pPr>
      <w:r>
        <w:rPr>
          <w:b/>
        </w:rPr>
        <w:t>Table 31</w:t>
      </w:r>
    </w:p>
    <w:p>
      <w:pPr>
        <w:pStyle w:val="Normal"/>
        <w:spacing w:before="0" w:after="200"/>
        <w:rPr/>
      </w:pPr>
      <w:r>
        <w:rPr>
          <w:i/>
        </w:rPr>
        <w:t>Functional Requirements for FEAT-02</w:t>
      </w:r>
    </w:p>
    <w:tbl>
      <w:tblPr>
        <w:tblW w:w="94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24"/>
        <w:gridCol w:w="3673"/>
        <w:gridCol w:w="792"/>
        <w:gridCol w:w="720"/>
        <w:gridCol w:w="576"/>
        <w:gridCol w:w="936"/>
        <w:gridCol w:w="719"/>
        <w:gridCol w:w="790"/>
      </w:tblGrid>
      <w:tr>
        <w:trPr>
          <w:cantSplit w:val="true"/>
        </w:trPr>
        <w:tc>
          <w:tcPr>
            <w:tcW w:w="122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ID</w:t>
            </w:r>
          </w:p>
        </w:tc>
        <w:tc>
          <w:tcPr>
            <w:tcW w:w="3673"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Requirement (shall statement)</w:t>
            </w:r>
          </w:p>
        </w:tc>
        <w:tc>
          <w:tcPr>
            <w:tcW w:w="79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Source</w:t>
            </w:r>
          </w:p>
        </w:tc>
        <w:tc>
          <w:tcPr>
            <w:tcW w:w="72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Pri</w:t>
            </w:r>
          </w:p>
        </w:tc>
        <w:tc>
          <w:tcPr>
            <w:tcW w:w="576"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MS</w:t>
            </w:r>
          </w:p>
        </w:tc>
        <w:tc>
          <w:tcPr>
            <w:tcW w:w="936"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Status</w:t>
            </w:r>
          </w:p>
        </w:tc>
        <w:tc>
          <w:tcPr>
            <w:tcW w:w="719"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Owner</w:t>
            </w:r>
          </w:p>
        </w:tc>
        <w:tc>
          <w:tcPr>
            <w:tcW w:w="79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Verif.</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FR-MCR-13</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retrieve the linked beneficiary's Medicare visit records [TBD-04] using the stored access token.</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SRC-01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FR-MCR-14</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retrieve the linked beneficiary's Medicare billing records [TBD-05] using the stored access token.</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SRC-01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FR-MCR-16</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enforce, in the backend on every request, that a patient's Medicare data is returned only to that patient or to a caregiver assigned to that patient.</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SRC-01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FR-MCR-17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reject a request for Medicare data belonging to a patient other than the authenticated patient with HTTP [PROPOSED: 404] and shall return no Medicare data.</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CRS-01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FR-MCR-18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scope every stored and returned Medicare record to the organization identifier of the requesting user.</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CRS-01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FR-MCR-19</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persist retrieved Medicare records so that they remain available when the records screen is reopened.</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SRC-01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FR-MCR-20</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On opening the Medicare records screen, the system shall render stored records before initiating any background refresh.</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FR-MCR-21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display, on the Medicare records screen, the date and time at which the displayed records were last retrieved from Medicare.</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FR-MCR-22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initiate a refresh when the stored records are older than [PROPOSED: 24 hours] at the time the records screen is opened.</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Should</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FR-MCR-23</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If a Medicare data request returns a rate-limit response [TBD-07], the system shall retry the request up to [PROPOSED: 3] attempts with [PROPOSED: exponential backoff starting at 2 seconds].</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Should</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FR-MCR-24</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If a Medicare data request has not succeeded after the permitted retries, the system shall display the stored records together with status ERR-MCR-03 indicating the refresh did not complete.</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FR-MCR-27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display a loading state on the Medicare records screen while records are being retrieved for the first time.</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CRS-01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FR-MCR-28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When a patient's Medicare account is Linked and Medicare returns no visit or billing records, the system shall display an empty state stating that no records were found.</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CRS-01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FR-MCR-29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When the device has no network connection, the system shall display stored Medicare records together with an offline indicator.</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CRS-01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M1</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bl>
    <w:p>
      <w:pPr>
        <w:pStyle w:val="Normal"/>
        <w:spacing w:before="0" w:after="240"/>
        <w:rPr/>
      </w:pPr>
      <w:r>
        <w:rPr>
          <w:i/>
          <w:sz w:val="18"/>
        </w:rPr>
        <w:t>Note. One obligation per requirement. Source, Priority (Pri), Milestone (MS), Status, Owner, and Verification method (Verif.) are the attribute set required by Table 18 (Section 4.1).</w:t>
      </w:r>
    </w:p>
    <w:p>
      <w:pPr>
        <w:pStyle w:val="Heading3"/>
        <w:rPr/>
      </w:pPr>
      <w:bookmarkStart w:id="93" w:name="__RefHeading___Toc10370_627777545"/>
      <w:bookmarkEnd w:id="93"/>
      <w:r>
        <w:rPr/>
        <w:t>6.2.5 Acceptance Criteria</w:t>
      </w:r>
    </w:p>
    <w:p>
      <w:pPr>
        <w:pStyle w:val="Normal"/>
        <w:spacing w:before="0" w:after="40"/>
        <w:rPr/>
      </w:pPr>
      <w:r>
        <w:rPr>
          <w:b/>
        </w:rPr>
        <w:t>Table 32</w:t>
      </w:r>
    </w:p>
    <w:p>
      <w:pPr>
        <w:pStyle w:val="Normal"/>
        <w:spacing w:before="0" w:after="200"/>
        <w:rPr/>
      </w:pPr>
      <w:r>
        <w:rPr>
          <w:i/>
        </w:rPr>
        <w:t>Acceptance Criteria for FEAT-02</w:t>
      </w:r>
    </w:p>
    <w:tbl>
      <w:tblPr>
        <w:tblW w:w="96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94"/>
        <w:gridCol w:w="1082"/>
        <w:gridCol w:w="2231"/>
        <w:gridCol w:w="1872"/>
        <w:gridCol w:w="2304"/>
        <w:gridCol w:w="864"/>
      </w:tblGrid>
      <w:tr>
        <w:trPr>
          <w:cantSplit w:val="true"/>
        </w:trPr>
        <w:tc>
          <w:tcPr>
            <w:tcW w:w="129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AC ID</w:t>
            </w:r>
          </w:p>
        </w:tc>
        <w:tc>
          <w:tcPr>
            <w:tcW w:w="108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Requirement</w:t>
            </w:r>
          </w:p>
        </w:tc>
        <w:tc>
          <w:tcPr>
            <w:tcW w:w="2231"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Given</w:t>
            </w:r>
          </w:p>
        </w:tc>
        <w:tc>
          <w:tcPr>
            <w:tcW w:w="187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When</w:t>
            </w:r>
          </w:p>
        </w:tc>
        <w:tc>
          <w:tcPr>
            <w:tcW w:w="230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Then</w:t>
            </w:r>
          </w:p>
        </w:tc>
        <w:tc>
          <w:tcPr>
            <w:tcW w:w="86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Test case</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AC-MCR-13-1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FR-MCR-13</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with a linked account and a synthetic beneficiary holding 3 visit records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Medicare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screen lists 3 visit records, each showing provider and service date;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TC-21.1</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AC-MCR-14-1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FR-MCR-14</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with a linked account and a synthetic beneficiary holding 2 billing records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Medicare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screen lists 2 billing records, each showing amount and service date;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TC-21.2</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AC-MCR-16-1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FR-MCR-16</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caregiver assigned to patient P</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caregiver requests P's Medicare data through the API directly, bypassing the UI</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response is HTTP 200 and contains P's records;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TC-24.1</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AC-MCR-16-2</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FR-MCR-16</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caregiver not assigned to patient P</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caregiver requests P's Medicare data through the API directly, bypassing the UI</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response is HTTP [PROPOSED: 404] and contains no Medicare record fields;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TC-24.2</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AC-MCR-17-1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FR-MCR-17</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Patient A, authenticated, and patient B with stored Medicare data</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requests B's Medicare data through the API directly</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response is HTTP [PROPOSED: 404] and contains no Medicare record fields;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TC-24.3</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AC-MCR-18-1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FR-MCR-18</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Patients in two different organizations, each with stored Medicare data</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caregiver in organization 1 requests data scoped to organization 2</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response contains zero records from organization 2;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TC-24.4</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AC-MCR-19-1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FR-MCR-19</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Medicare records previously retrieved and stored for a patient</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closes and reopens the app, then opens the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previously retrieved records are displayed;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TC-21.3</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AC-MCR-20-1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FR-MCR-20</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Stored Medicare records exist and the Medicare API is responding slowly (test double, 5 s delay)</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Stored records are rendered before the refresh response returns;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TC-21.4</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AC-MCR-20-2</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FR-MCR-20</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Stored Medicare records exist and the Medicare API is unreachable (test double)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Stored records are rendered and the screen is never blank;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TC-21.5</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AC-MCR-21-1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FR-MCR-21</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Medicare records retrieved at a known timestamp</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screen displays that retrieval timestamp;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TC-21.6</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AC-MCR-22-1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FR-MCR-22</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Stored records with a retrieval timestamp older than [PROPOSED: 24 hours]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refresh request is issued to Medicare;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TC-21.7</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AC-MCR-22-2</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FR-MCR-22</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Stored records with a retrieval timestamp newer than [PROPOSED: 24 hours]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No refresh request is issued to Medicare;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TC-21.8</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AC-MCR-23-1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FR-MCR-23</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Medicare API returns a rate-limit response twice then succeeds (test double)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CareConnect issues exactly 3 requests and displays the retrieved records;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TC-21.9</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AC-MCR-24-1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FR-MCR-24</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Medicare API returns a rate-limit response on every attempt (test double), with stored records present</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CareConnect issues exactly [PROPOSED: 3] requests, displays the stored records, and shows ERR-MCR-03;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TC-21.10</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AC-MCR-24-2</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FR-MCR-24</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Medicare API is unavailable and no stored records exist</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screen displays ERR-MCR-03 and is not blank;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TC-21.11</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AC-MCR-27-1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FR-MCR-27</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with a linked account and no stored records, Medicare responding slowly (test double)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loading state is visible until the response returns;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TC-21.12</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AC-MCR-28-1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FR-MCR-28</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whose account is Linked and whose synthetic beneficiary holds zero records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screen displays the text “No Medicare records found” and is not blank;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TC-21.13</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AC-MCR-29-1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FR-MCR-29</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device with no network connection and stored Medicare records present</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Stored records are displayed together with an offline indicator; verified in M1</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TC-21.14</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AC-PERF-01-1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NFR-PERF-01</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Stored Medicare records for a beneficiary with [PROPOSED: 50] visit records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records screen</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stored records render within [PROPOSED: 2 seconds] at the 95th percentile on the reference device</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TC-21.15</w:t>
            </w:r>
          </w:p>
        </w:tc>
      </w:tr>
    </w:tbl>
    <w:p>
      <w:pPr>
        <w:pStyle w:val="Normal"/>
        <w:spacing w:before="0" w:after="240"/>
        <w:rPr/>
      </w:pPr>
      <w:r>
        <w:rPr>
          <w:i/>
          <w:sz w:val="18"/>
        </w:rPr>
        <w:t>Note. Every Must requirement has at least one positive and one negative acceptance criterion. Flag — not yet resolved: several Then clauses below read “...; verified in M1,” inherited verbatim from the requirements workbook. No FR-MCR acceptance criterion has actually been verified as of this draft (Section 1.2, OQ-10); the “verified in M1” language is the workbook's own wording and has not been edited here, so the conflict stays visible rather than silently fixed.</w:t>
      </w:r>
    </w:p>
    <w:p>
      <w:pPr>
        <w:pStyle w:val="Heading3"/>
        <w:rPr/>
      </w:pPr>
      <w:bookmarkStart w:id="94" w:name="__RefHeading___Toc10372_627777545"/>
      <w:bookmarkEnd w:id="94"/>
      <w:r>
        <w:rPr/>
        <w:t>6.2.6 Business Rules Applied</w:t>
      </w:r>
    </w:p>
    <w:p>
      <w:pPr>
        <w:pStyle w:val="Normal"/>
        <w:spacing w:before="0" w:after="160"/>
        <w:rPr/>
      </w:pPr>
      <w:r>
        <w:rPr>
          <w:i w:val="false"/>
        </w:rPr>
        <w:t>No business rule identifiers from Section 10 apply to this feature as of this draft; Section 10 has not yet been populated with project-specific rules.</w:t>
      </w:r>
    </w:p>
    <w:p>
      <w:pPr>
        <w:pStyle w:val="Heading3"/>
        <w:rPr/>
      </w:pPr>
      <w:bookmarkStart w:id="95" w:name="__RefHeading___Toc10374_627777545"/>
      <w:bookmarkEnd w:id="95"/>
      <w:r>
        <w:rPr/>
        <w:t>6.2.7 Error Conditions</w:t>
      </w:r>
    </w:p>
    <w:p>
      <w:pPr>
        <w:pStyle w:val="Normal"/>
        <w:spacing w:before="0" w:after="40"/>
        <w:rPr/>
      </w:pPr>
      <w:r>
        <w:rPr>
          <w:b/>
        </w:rPr>
        <w:t>Table 33</w:t>
      </w:r>
    </w:p>
    <w:p>
      <w:pPr>
        <w:pStyle w:val="Normal"/>
        <w:spacing w:before="0" w:after="200"/>
        <w:rPr/>
      </w:pPr>
      <w:r>
        <w:rPr>
          <w:i/>
        </w:rPr>
        <w:t>Error Conditions Raised by This Feature</w:t>
      </w:r>
    </w:p>
    <w:tbl>
      <w:tblPr>
        <w:tblW w:w="95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50"/>
        <w:gridCol w:w="2738"/>
        <w:gridCol w:w="2160"/>
        <w:gridCol w:w="2734"/>
        <w:gridCol w:w="722"/>
      </w:tblGrid>
      <w:tr>
        <w:trPr>
          <w:cantSplit w:val="true"/>
        </w:trPr>
        <w:tc>
          <w:tcPr>
            <w:tcW w:w="11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Error ID</w:t>
            </w:r>
          </w:p>
        </w:tc>
        <w:tc>
          <w:tcPr>
            <w:tcW w:w="2738"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Condition</w:t>
            </w:r>
          </w:p>
        </w:tc>
        <w:tc>
          <w:tcPr>
            <w:tcW w:w="216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System behavior</w:t>
            </w:r>
          </w:p>
        </w:tc>
        <w:tc>
          <w:tcPr>
            <w:tcW w:w="273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User-visible message</w:t>
            </w:r>
          </w:p>
        </w:tc>
        <w:tc>
          <w:tcPr>
            <w:tcW w:w="72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Logged?</w:t>
            </w:r>
          </w:p>
        </w:tc>
      </w:tr>
      <w:tr>
        <w:trPr>
          <w:cantSplit w:val="true"/>
        </w:trPr>
        <w:tc>
          <w:tcPr>
            <w:tcW w:w="115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ERR-MCR-03</w:t>
            </w:r>
          </w:p>
        </w:tc>
        <w:tc>
          <w:tcPr>
            <w:tcW w:w="273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Medicare data request fails after permitted retries</w:t>
            </w:r>
          </w:p>
        </w:tc>
        <w:tc>
          <w:tcPr>
            <w:tcW w:w="216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Display stored records with refresh-failed status</w:t>
            </w:r>
          </w:p>
        </w:tc>
        <w:tc>
          <w:tcPr>
            <w:tcW w:w="273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t>
            </w:r>
            <w:r>
              <w:rPr>
                <w:b w:val="false"/>
                <w:i w:val="false"/>
                <w:sz w:val="14"/>
              </w:rPr>
              <w:t>Showing your saved records. We couldn't check Medicare for updates.”</w:t>
            </w:r>
          </w:p>
        </w:tc>
        <w:tc>
          <w:tcPr>
            <w:tcW w:w="7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Yes</w:t>
            </w:r>
          </w:p>
        </w:tc>
      </w:tr>
    </w:tbl>
    <w:p>
      <w:pPr>
        <w:pStyle w:val="Heading2"/>
        <w:rPr/>
      </w:pPr>
      <w:bookmarkStart w:id="96" w:name="__RefHeading___Toc10376_627777545"/>
      <w:bookmarkEnd w:id="96"/>
      <w:r>
        <w:rPr/>
        <w:t>6.3 FEAT-03: Cross-Source Data Comparison (Deferred to Milestone 2)</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cantSplit w:val="true"/>
        </w:trPr>
        <w:tc>
          <w:tcPr>
            <w:tcW w:w="9360" w:type="dxa"/>
            <w:tcBorders>
              <w:top w:val="single" w:sz="4" w:space="0" w:color="000000"/>
              <w:left w:val="single" w:sz="4" w:space="0" w:color="000000"/>
              <w:bottom w:val="single" w:sz="4" w:space="0" w:color="000000"/>
              <w:right w:val="single" w:sz="4" w:space="0" w:color="000000"/>
            </w:tcBorders>
            <w:shd w:color="auto" w:fill="FDF3E0" w:val="clear"/>
          </w:tcPr>
          <w:p>
            <w:pPr>
              <w:pStyle w:val="Normal"/>
              <w:widowControl/>
              <w:bidi w:val="0"/>
              <w:spacing w:lineRule="auto" w:line="276" w:before="0" w:after="130"/>
              <w:jc w:val="left"/>
              <w:rPr/>
            </w:pPr>
            <w:r>
              <w:rPr>
                <w:b w:val="false"/>
                <w:i w:val="false"/>
                <w:sz w:val="18"/>
              </w:rPr>
              <w:t>Flag — deferred, not dropped. FEAT-03 is fully specified below but is out of scope for Milestone 1 (Section 1.3, Section 5.2). It depends on peer-team EHR interfaces (Epic, Aetna, Oracle Health) that do not exist yet (OQ-04). It is documented here at the same level of detail as FEAT-01/FEAT-02 so the specification is ready when the dependency clears.</w:t>
            </w:r>
          </w:p>
        </w:tc>
      </w:tr>
    </w:tbl>
    <w:p>
      <w:pPr>
        <w:pStyle w:val="Heading3"/>
        <w:rPr/>
      </w:pPr>
      <w:bookmarkStart w:id="97" w:name="__RefHeading___Toc10378_627777545"/>
      <w:bookmarkEnd w:id="97"/>
      <w:r>
        <w:rPr/>
        <w:t>6.3.1 Description and Priority</w:t>
      </w:r>
    </w:p>
    <w:p>
      <w:pPr>
        <w:pStyle w:val="Normal"/>
        <w:spacing w:before="0" w:after="160"/>
        <w:rPr/>
      </w:pPr>
      <w:r>
        <w:rPr>
          <w:i w:val="false"/>
        </w:rPr>
        <w:t>When Medicare data and data from a peer EHR source describe the same visit, CareConnect reconciles them into a single view; when the sources disagree, CareConnect surfaces the disagreement rather than silently picking one value. Two records are never merged unless they agree on provider, service date, and patient identity (FR-XSRC-04) — the guard against the feature's worst failure mode, a hidden clinical encounter. Priority: Must, when peer interfaces exist (Section 5.2). Milestone: M2.</w:t>
      </w:r>
    </w:p>
    <w:p>
      <w:pPr>
        <w:pStyle w:val="Heading3"/>
        <w:rPr/>
      </w:pPr>
      <w:bookmarkStart w:id="98" w:name="__RefHeading___Toc10380_627777545"/>
      <w:bookmarkEnd w:id="98"/>
      <w:r>
        <w:rPr/>
        <w:t>6.3.2 Use Case</w:t>
      </w:r>
    </w:p>
    <w:p>
      <w:pPr>
        <w:pStyle w:val="Normal"/>
        <w:spacing w:before="0" w:after="40"/>
        <w:rPr/>
      </w:pPr>
      <w:r>
        <w:rPr>
          <w:b/>
        </w:rPr>
        <w:t>Table 34</w:t>
      </w:r>
    </w:p>
    <w:p>
      <w:pPr>
        <w:pStyle w:val="Normal"/>
        <w:spacing w:before="0" w:after="200"/>
        <w:rPr/>
      </w:pPr>
      <w:r>
        <w:rPr>
          <w:i/>
        </w:rPr>
        <w:t>Use Case UC-03</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47"/>
        <w:gridCol w:w="6912"/>
      </w:tblGrid>
      <w:tr>
        <w:trPr>
          <w:cantSplit w:val="true"/>
        </w:trPr>
        <w:tc>
          <w:tcPr>
            <w:tcW w:w="2447"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Element</w:t>
            </w:r>
          </w:p>
        </w:tc>
        <w:tc>
          <w:tcPr>
            <w:tcW w:w="691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Content</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Use case ID and name</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UC-03 Reconcile and Review Medicare Data Deltas</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Primary actor</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Patient / caregiver assigned to that patient</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Preconditions</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Medicare data has been retrieved (FEAT-02); at least one peer source (Epic, Aetna, or Oracle Health) has returned data for the same patient</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Trigger</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CareConnect retrieves or refreshes data from Medicare and/or a peer source</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Main success scenario</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1. CareConnect retrieves records from Medicare and from an available peer source.</w:t>
              <w:br/>
              <w:t>2. CareConnect compares records using the match keys in FR-XSRC-01 (provider, service date, patient identity) to determine whether they describe the same visit.</w:t>
              <w:br/>
              <w:t>3. If records match and agree on every compared field, CareConnect displays a single reconciled visit (FR-XSRC-02).</w:t>
              <w:br/>
              <w:t>4. If records match but conflict on one or more fields, CareConnect flags the conflict as a delta and displays both values, each labeled with its source (FR-XSRC-03).</w:t>
              <w:br/>
              <w:t>5. User views the flagged delta.</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Alternate flows</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A visit is returned by only one source — displayed as a single-source visit attributed to that source, with no delta marking (FR-XSRC-06).</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Exception flows</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A peer source is unavailable during comparison (FR-XSRC-05, ERR-XSRC-01) — Medicare data still displays; comparison against that source is marked unavailable rather than blocking the screen. No peer source has returned data at all (FR-XSRC-08) — Medicare records display with an indication that no comparison was performed.</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Postconditions</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Matching visits are reconciled; conflicting visits are flagged and visible to the user; two records must never be merged unless they agree on provider, service date, and patient identity (FR-XSRC-04).</w:t>
            </w:r>
          </w:p>
        </w:tc>
      </w:tr>
      <w:tr>
        <w:trPr>
          <w:cantSplit w:val="true"/>
        </w:trPr>
        <w:tc>
          <w:tcPr>
            <w:tcW w:w="244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Requirements realized</w:t>
            </w:r>
          </w:p>
        </w:tc>
        <w:tc>
          <w:tcPr>
            <w:tcW w:w="691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FR-XSRC-01, FR-XSRC-02, FR-XSRC-03, FR-XSRC-04, FR-XSRC-05, FR-XSRC-06, FR-XSRC-07, FR-XSRC-08, FR-XSRC-09</w:t>
            </w:r>
          </w:p>
        </w:tc>
      </w:tr>
    </w:tbl>
    <w:p>
      <w:pPr>
        <w:pStyle w:val="Normal"/>
        <w:spacing w:before="0" w:after="240"/>
        <w:rPr/>
      </w:pPr>
      <w:r>
        <w:rPr>
          <w:i/>
          <w:sz w:val="18"/>
        </w:rPr>
        <w:t>Note. Alternate and exception flows are where most defects live. A use case with only a happy path is incomplete.</w:t>
      </w:r>
    </w:p>
    <w:p>
      <w:pPr>
        <w:pStyle w:val="Normal"/>
        <w:spacing w:before="0" w:after="240"/>
        <w:rPr/>
      </w:pPr>
      <w:r>
        <w:rPr>
          <w:i/>
          <w:sz w:val="18"/>
        </w:rPr>
        <w:t>Note. Figure 4 (Section 6.1.2) already shows UC-03's actors. No sequence diagram has been produced yet for this use case; it will be added when FEAT-03 is picked up in Milestone 2.</w:t>
      </w:r>
    </w:p>
    <w:p>
      <w:pPr>
        <w:pStyle w:val="Heading3"/>
        <w:rPr/>
      </w:pPr>
      <w:bookmarkStart w:id="99" w:name="__RefHeading___Toc10382_627777545"/>
      <w:bookmarkEnd w:id="99"/>
      <w:r>
        <w:rPr/>
        <w:t>6.3.3 Stimulus and Response Sequences</w:t>
      </w:r>
    </w:p>
    <w:p>
      <w:pPr>
        <w:pStyle w:val="Normal"/>
        <w:spacing w:before="0" w:after="40"/>
        <w:rPr/>
      </w:pPr>
      <w:r>
        <w:rPr>
          <w:b/>
        </w:rPr>
        <w:t>Table 35</w:t>
      </w:r>
    </w:p>
    <w:p>
      <w:pPr>
        <w:pStyle w:val="Normal"/>
        <w:spacing w:before="0" w:after="200"/>
        <w:rPr/>
      </w:pPr>
      <w:r>
        <w:rPr>
          <w:i/>
        </w:rPr>
        <w:t>Stimulus and Response for FEAT-03</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10"/>
        <w:gridCol w:w="3888"/>
        <w:gridCol w:w="2162"/>
      </w:tblGrid>
      <w:tr>
        <w:trPr>
          <w:cantSplit w:val="true"/>
        </w:trPr>
        <w:tc>
          <w:tcPr>
            <w:tcW w:w="331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Stimulus</w:t>
            </w:r>
          </w:p>
        </w:tc>
        <w:tc>
          <w:tcPr>
            <w:tcW w:w="3888"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System response</w:t>
            </w:r>
          </w:p>
        </w:tc>
        <w:tc>
          <w:tcPr>
            <w:tcW w:w="216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7"/>
              </w:rPr>
              <w:t>Requirement</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Medicare and a peer source (e.g., Epic) return records for the same provider, service date, and patient with matching field values</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CareConnect displays a single reconciled visit</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FR-XSRC-01, FR-XSRC-02</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Medicare and a peer source return records for the same provider, service date, and patient with conflicting field values (negative case)</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CareConnect flags the conflict as a delta and displays both values, labeled by source</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FR-XSRC-03</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Two records share a patient and service date but different providers (boundary case)</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Records are treated as two separate visits, not merged</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FR-XSRC-04</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A peer source (e.g., Oracle Health) is unavailable during comparison (dependency failure)</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Medicare data still displays; that source's comparison is marked unavailable</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FR-XSRC-05</w:t>
            </w:r>
          </w:p>
        </w:tc>
      </w:tr>
      <w:tr>
        <w:trPr>
          <w:cantSplit w:val="true"/>
        </w:trPr>
        <w:tc>
          <w:tcPr>
            <w:tcW w:w="331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No peer source has returned data for the patient (edge case)</w:t>
            </w:r>
          </w:p>
        </w:tc>
        <w:tc>
          <w:tcPr>
            <w:tcW w:w="388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Medicare records display with an indication that no comparison was performed</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5"/>
              </w:rPr>
              <w:t>FR-XSRC-08</w:t>
            </w:r>
          </w:p>
        </w:tc>
      </w:tr>
    </w:tbl>
    <w:p>
      <w:pPr>
        <w:pStyle w:val="Normal"/>
        <w:spacing w:before="0" w:after="240"/>
        <w:rPr/>
      </w:pPr>
      <w:r>
        <w:rPr>
          <w:i/>
          <w:sz w:val="18"/>
        </w:rPr>
        <w:t>Note. Includes at least one invalid-input row and one dependency-failure row, per the template convention.</w:t>
      </w:r>
    </w:p>
    <w:p>
      <w:pPr>
        <w:pStyle w:val="Heading3"/>
        <w:rPr/>
      </w:pPr>
      <w:bookmarkStart w:id="100" w:name="__RefHeading___Toc10384_627777545"/>
      <w:bookmarkEnd w:id="100"/>
      <w:r>
        <w:rPr/>
        <w:t>6.3.4 Functional Requirements</w:t>
      </w:r>
    </w:p>
    <w:p>
      <w:pPr>
        <w:pStyle w:val="Normal"/>
        <w:spacing w:before="0" w:after="40"/>
        <w:rPr/>
      </w:pPr>
      <w:r>
        <w:rPr>
          <w:b/>
        </w:rPr>
        <w:t>Table 36</w:t>
      </w:r>
    </w:p>
    <w:p>
      <w:pPr>
        <w:pStyle w:val="Normal"/>
        <w:spacing w:before="0" w:after="200"/>
        <w:rPr/>
      </w:pPr>
      <w:r>
        <w:rPr>
          <w:i/>
        </w:rPr>
        <w:t>Functional Requirements for FEAT-03</w:t>
      </w:r>
    </w:p>
    <w:tbl>
      <w:tblPr>
        <w:tblW w:w="94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24"/>
        <w:gridCol w:w="3673"/>
        <w:gridCol w:w="792"/>
        <w:gridCol w:w="720"/>
        <w:gridCol w:w="576"/>
        <w:gridCol w:w="936"/>
        <w:gridCol w:w="719"/>
        <w:gridCol w:w="790"/>
      </w:tblGrid>
      <w:tr>
        <w:trPr>
          <w:cantSplit w:val="true"/>
        </w:trPr>
        <w:tc>
          <w:tcPr>
            <w:tcW w:w="122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ID</w:t>
            </w:r>
          </w:p>
        </w:tc>
        <w:tc>
          <w:tcPr>
            <w:tcW w:w="3673"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Requirement (shall statement)</w:t>
            </w:r>
          </w:p>
        </w:tc>
        <w:tc>
          <w:tcPr>
            <w:tcW w:w="79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Source</w:t>
            </w:r>
          </w:p>
        </w:tc>
        <w:tc>
          <w:tcPr>
            <w:tcW w:w="72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Pri</w:t>
            </w:r>
          </w:p>
        </w:tc>
        <w:tc>
          <w:tcPr>
            <w:tcW w:w="576"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MS</w:t>
            </w:r>
          </w:p>
        </w:tc>
        <w:tc>
          <w:tcPr>
            <w:tcW w:w="936"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Status</w:t>
            </w:r>
          </w:p>
        </w:tc>
        <w:tc>
          <w:tcPr>
            <w:tcW w:w="719"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Owner</w:t>
            </w:r>
          </w:p>
        </w:tc>
        <w:tc>
          <w:tcPr>
            <w:tcW w:w="79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Verif.</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FR-XSRC-01</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identify two records from different sources as describing the same visit when they match on provider [TBD-08], service date [TBD-09], and patient identity [TBD-10].</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SRC-01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M2</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FR-XSRC-02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display two records matching per FR-XSRC-01 that agree on every compared field [TBD-11] as a single reconciled visit.</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SRC-01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M2</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FR-XSRC-03</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When two records match per FR-XSRC-01 but differ on one or more compared fields [TBD-11], the system shall display both values labeled with their source and shall mark the visit as having a delta.</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SRC-01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M2</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FR-XSRC-04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not merge two records that differ on provider, service date, or patient identity.</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M2</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FR-XSRC-05</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When a peer source is unavailable during comparison, the system shall display the Medicare record and shall mark that source's comparison status as unavailable.</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M2</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FR-XSRC-06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display a visit returned by only one source as a single-source visit attributed to that source.</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TEAM-01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Should</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M2</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FR-XSRC-07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system shall display a loading state while cross-source comparison is in progress.</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CRS-01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M2</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FR-XSRC-08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When no peer source has returned data for the patient, the system shall display Medicare records with an indication that no comparison was performed.</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CRS-01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Must</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M2</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r>
        <w:trPr>
          <w:cantSplit w:val="true"/>
        </w:trPr>
        <w:tc>
          <w:tcPr>
            <w:tcW w:w="12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FR-XSRC-09 (new)</w:t>
            </w:r>
          </w:p>
        </w:tc>
        <w:tc>
          <w:tcPr>
            <w:tcW w:w="367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When the device has no network connection, the system shall display the most recent stored comparison result together with an offline indicator.</w:t>
            </w:r>
          </w:p>
        </w:tc>
        <w:tc>
          <w:tcPr>
            <w:tcW w:w="79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CRS-01</w:t>
            </w:r>
          </w:p>
        </w:tc>
        <w:tc>
          <w:tcPr>
            <w:tcW w:w="72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Should</w:t>
            </w:r>
          </w:p>
        </w:tc>
        <w:tc>
          <w:tcPr>
            <w:tcW w:w="5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M2</w:t>
            </w:r>
          </w:p>
        </w:tc>
        <w:tc>
          <w:tcPr>
            <w:tcW w:w="9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Proposed</w:t>
            </w:r>
          </w:p>
        </w:tc>
        <w:tc>
          <w:tcPr>
            <w:tcW w:w="71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TBD</w:t>
            </w:r>
          </w:p>
        </w:tc>
        <w:tc>
          <w:tcPr>
            <w:tcW w:w="79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Test</w:t>
            </w:r>
          </w:p>
        </w:tc>
      </w:tr>
    </w:tbl>
    <w:p>
      <w:pPr>
        <w:pStyle w:val="Normal"/>
        <w:spacing w:before="0" w:after="240"/>
        <w:rPr/>
      </w:pPr>
      <w:r>
        <w:rPr>
          <w:i/>
          <w:sz w:val="18"/>
        </w:rPr>
        <w:t>Note. One obligation per requirement. Source, Priority (Pri), Milestone (MS), Status, Owner, and Verification method (Verif.) are the attribute set required by Table 18 (Section 4.1).</w:t>
      </w:r>
    </w:p>
    <w:p>
      <w:pPr>
        <w:pStyle w:val="Heading3"/>
        <w:rPr/>
      </w:pPr>
      <w:bookmarkStart w:id="101" w:name="__RefHeading___Toc10386_627777545"/>
      <w:bookmarkEnd w:id="101"/>
      <w:r>
        <w:rPr/>
        <w:t>6.3.5 Acceptance Criteria</w:t>
      </w:r>
    </w:p>
    <w:p>
      <w:pPr>
        <w:pStyle w:val="Normal"/>
        <w:spacing w:before="0" w:after="40"/>
        <w:rPr/>
      </w:pPr>
      <w:r>
        <w:rPr>
          <w:b/>
        </w:rPr>
        <w:t>Table 37</w:t>
      </w:r>
    </w:p>
    <w:p>
      <w:pPr>
        <w:pStyle w:val="Normal"/>
        <w:spacing w:before="0" w:after="200"/>
        <w:rPr/>
      </w:pPr>
      <w:r>
        <w:rPr>
          <w:i/>
        </w:rPr>
        <w:t>Acceptance Criteria for FEAT-03</w:t>
      </w:r>
    </w:p>
    <w:tbl>
      <w:tblPr>
        <w:tblW w:w="96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94"/>
        <w:gridCol w:w="1082"/>
        <w:gridCol w:w="2231"/>
        <w:gridCol w:w="1872"/>
        <w:gridCol w:w="2304"/>
        <w:gridCol w:w="864"/>
      </w:tblGrid>
      <w:tr>
        <w:trPr>
          <w:cantSplit w:val="true"/>
        </w:trPr>
        <w:tc>
          <w:tcPr>
            <w:tcW w:w="129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AC ID</w:t>
            </w:r>
          </w:p>
        </w:tc>
        <w:tc>
          <w:tcPr>
            <w:tcW w:w="108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Requirement</w:t>
            </w:r>
          </w:p>
        </w:tc>
        <w:tc>
          <w:tcPr>
            <w:tcW w:w="2231"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Given</w:t>
            </w:r>
          </w:p>
        </w:tc>
        <w:tc>
          <w:tcPr>
            <w:tcW w:w="187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When</w:t>
            </w:r>
          </w:p>
        </w:tc>
        <w:tc>
          <w:tcPr>
            <w:tcW w:w="230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Then</w:t>
            </w:r>
          </w:p>
        </w:tc>
        <w:tc>
          <w:tcPr>
            <w:tcW w:w="86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5"/>
              </w:rPr>
              <w:t>Test case</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AC-XSRC-01-1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FR-XSRC-01</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Medicare and Epic each return a visit for the same provider, same service date, same patient</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Comparison runs</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two records are identified as one visit; verified in M2</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TC-22.1</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AC-XSRC-01-2</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FR-XSRC-01</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Medicare and Epic return visits for the same provider and patient with service dates one calendar day apart</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Comparison runs</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two records are not identified as the same visit; verified in M2</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TC-22.2</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AC-XSRC-02-1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FR-XSRC-02</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Two matching records agreeing on every compared field</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Comparison runs</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screen displays one reconciled visit, not two entries; verified in M2</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TC-22.3</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AC-XSRC-03-1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FR-XSRC-03</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Medicare and Epic return matching records differing on exactly one compared field</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Comparison runs</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screen displays both values, each labeled with its source, and marks the visit as having a delta; verified in M2</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TC-22.4</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AC-XSRC-03-2</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FR-XSRC-03</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Medicare and Epic return matching records differing on exactly one compared field</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Comparison runs</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Neither value is discarded and neither source is presented as authoritative; verified in M2</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TC-22.5</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AC-XSRC-04-1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FR-XSRC-04</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Two records for the same patient and service date at different providers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Comparison runs</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Two separate visits are displayed; verified in M2</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TC-22.6</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AC-XSRC-04-2</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FR-XSRC-04</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Two records for the same provider and service date belonging to different patients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Comparison runs</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records are not merged and neither appears in the other patient's view; verified in M2</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TC-22.7</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AC-XSRC-05-1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FR-XSRC-05</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Medicare data present; the Epic integration returns an error (test double)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comparison view</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Medicare record is displayed and Epic's comparison status reads unavailable; verified in M2</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TC-22.8</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AC-XSRC-05-2</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FR-XSRC-05</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Medicare data present; the Epic integration returns an error (test double)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comparison view</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screen is not blank and no delta is falsely reported against the unavailable source; verified in M2</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TC-22.9</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AC-XSRC-06-1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FR-XSRC-06</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visit returned by Medicare only</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Comparison runs</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visit is displayed attributed to Medicare with no delta marking; verified in M2</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TC-22.10</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AC-XSRC-07-1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FR-XSRC-07</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peer source responding slowly (test double, 5 s delay)</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comparison view</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loading state is visible until comparison completes; verified in M2</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TC-22.11</w:t>
            </w:r>
          </w:p>
        </w:tc>
      </w:tr>
      <w:tr>
        <w:trPr>
          <w:cantSplit w:val="true"/>
        </w:trPr>
        <w:tc>
          <w:tcPr>
            <w:tcW w:w="12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AC-XSRC-08-1</w:t>
            </w:r>
          </w:p>
        </w:tc>
        <w:tc>
          <w:tcPr>
            <w:tcW w:w="108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FR-XSRC-08</w:t>
            </w:r>
          </w:p>
        </w:tc>
        <w:tc>
          <w:tcPr>
            <w:tcW w:w="223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A patient with Medicare data and no peer source configured</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The patient opens the comparison view</w:t>
            </w:r>
          </w:p>
        </w:tc>
        <w:tc>
          <w:tcPr>
            <w:tcW w:w="230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Medicare records are displayed with an indication that no comparison was performed; verified in M2</w:t>
            </w:r>
          </w:p>
        </w:tc>
        <w:tc>
          <w:tcPr>
            <w:tcW w:w="86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TC-22.12</w:t>
            </w:r>
          </w:p>
        </w:tc>
      </w:tr>
    </w:tbl>
    <w:p>
      <w:pPr>
        <w:pStyle w:val="Normal"/>
        <w:spacing w:before="0" w:after="240"/>
        <w:rPr/>
      </w:pPr>
      <w:r>
        <w:rPr>
          <w:i/>
          <w:sz w:val="18"/>
        </w:rPr>
        <w:t>Note. Every Must requirement has at least one positive and one negative acceptance criterion. Several Then clauses below read “...; verified in M2,” the workbook's own wording. As with FEAT-01/FEAT-02 (Section 6.1.5), no FR-XSRC acceptance criterion has actually been verified as of this draft — FEAT-03 has not been implemented and is not scheduled to be until the peer-team dependency in OQ-04 clears. The “verified in M2” language is reproduced as written rather than edited.</w:t>
      </w:r>
    </w:p>
    <w:p>
      <w:pPr>
        <w:pStyle w:val="Heading3"/>
        <w:rPr/>
      </w:pPr>
      <w:bookmarkStart w:id="102" w:name="__RefHeading___Toc10388_627777545"/>
      <w:bookmarkEnd w:id="102"/>
      <w:r>
        <w:rPr/>
        <w:t>6.3.6 Business Rules Applied</w:t>
      </w:r>
    </w:p>
    <w:p>
      <w:pPr>
        <w:pStyle w:val="Normal"/>
        <w:spacing w:before="0" w:after="160"/>
        <w:rPr/>
      </w:pPr>
      <w:r>
        <w:rPr>
          <w:i w:val="false"/>
        </w:rPr>
        <w:t>No business rule identifiers from Section 10 apply to this feature as of this draft; Section 10 has not yet been populated with project-specific rules.</w:t>
      </w:r>
    </w:p>
    <w:p>
      <w:pPr>
        <w:pStyle w:val="Heading3"/>
        <w:rPr/>
      </w:pPr>
      <w:bookmarkStart w:id="103" w:name="__RefHeading___Toc10390_627777545"/>
      <w:bookmarkEnd w:id="103"/>
      <w:r>
        <w:rPr/>
        <w:t>6.3.7 Error Conditions</w:t>
      </w:r>
    </w:p>
    <w:p>
      <w:pPr>
        <w:pStyle w:val="Normal"/>
        <w:spacing w:before="0" w:after="40"/>
        <w:rPr/>
      </w:pPr>
      <w:r>
        <w:rPr>
          <w:b/>
        </w:rPr>
        <w:t>Table 38</w:t>
      </w:r>
    </w:p>
    <w:p>
      <w:pPr>
        <w:pStyle w:val="Normal"/>
        <w:spacing w:before="0" w:after="200"/>
        <w:rPr/>
      </w:pPr>
      <w:r>
        <w:rPr>
          <w:i/>
        </w:rPr>
        <w:t>Error Conditions Raised by This Feature</w:t>
      </w:r>
    </w:p>
    <w:tbl>
      <w:tblPr>
        <w:tblW w:w="95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50"/>
        <w:gridCol w:w="2738"/>
        <w:gridCol w:w="2160"/>
        <w:gridCol w:w="2734"/>
        <w:gridCol w:w="722"/>
      </w:tblGrid>
      <w:tr>
        <w:trPr>
          <w:cantSplit w:val="true"/>
        </w:trPr>
        <w:tc>
          <w:tcPr>
            <w:tcW w:w="11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Error ID</w:t>
            </w:r>
          </w:p>
        </w:tc>
        <w:tc>
          <w:tcPr>
            <w:tcW w:w="2738"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Condition</w:t>
            </w:r>
          </w:p>
        </w:tc>
        <w:tc>
          <w:tcPr>
            <w:tcW w:w="2160"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System behavior</w:t>
            </w:r>
          </w:p>
        </w:tc>
        <w:tc>
          <w:tcPr>
            <w:tcW w:w="2734"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User-visible message</w:t>
            </w:r>
          </w:p>
        </w:tc>
        <w:tc>
          <w:tcPr>
            <w:tcW w:w="722" w:type="dxa"/>
            <w:tcBorders>
              <w:top w:val="single" w:sz="4" w:space="0" w:color="000000"/>
              <w:left w:val="single" w:sz="4" w:space="0" w:color="000000"/>
              <w:bottom w:val="single" w:sz="4" w:space="0" w:color="000000"/>
              <w:right w:val="single" w:sz="4" w:space="0" w:color="000000"/>
            </w:tcBorders>
            <w:shd w:color="auto" w:fill="E8E8E8" w:val="clear"/>
          </w:tcPr>
          <w:p>
            <w:pPr>
              <w:pStyle w:val="Normal"/>
              <w:widowControl/>
              <w:bidi w:val="0"/>
              <w:spacing w:lineRule="auto" w:line="276" w:before="0" w:after="130"/>
              <w:jc w:val="left"/>
              <w:rPr/>
            </w:pPr>
            <w:r>
              <w:rPr>
                <w:b/>
                <w:i w:val="false"/>
                <w:sz w:val="16"/>
              </w:rPr>
              <w:t>Logged?</w:t>
            </w:r>
          </w:p>
        </w:tc>
      </w:tr>
      <w:tr>
        <w:trPr>
          <w:cantSplit w:val="true"/>
        </w:trPr>
        <w:tc>
          <w:tcPr>
            <w:tcW w:w="115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ERR-XSRC-01</w:t>
            </w:r>
          </w:p>
        </w:tc>
        <w:tc>
          <w:tcPr>
            <w:tcW w:w="273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Peer source unavailable during comparison</w:t>
            </w:r>
          </w:p>
        </w:tc>
        <w:tc>
          <w:tcPr>
            <w:tcW w:w="216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Display Medicare record; mark source unavailable</w:t>
            </w:r>
          </w:p>
        </w:tc>
        <w:tc>
          <w:tcPr>
            <w:tcW w:w="273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w:t>
            </w:r>
            <w:r>
              <w:rPr>
                <w:b w:val="false"/>
                <w:i w:val="false"/>
                <w:sz w:val="14"/>
              </w:rPr>
              <w:t>We couldn't compare with [source] right now.”</w:t>
            </w:r>
          </w:p>
        </w:tc>
        <w:tc>
          <w:tcPr>
            <w:tcW w:w="7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130"/>
              <w:jc w:val="left"/>
              <w:rPr/>
            </w:pPr>
            <w:r>
              <w:rPr>
                <w:b w:val="false"/>
                <w:i w:val="false"/>
                <w:sz w:val="14"/>
              </w:rPr>
              <w:t>Yes</w:t>
            </w:r>
          </w:p>
        </w:tc>
      </w:tr>
    </w:tbl>
    <w:p>
      <w:pPr>
        <w:pStyle w:val="Heading1"/>
        <w:rPr/>
      </w:pPr>
      <w:bookmarkStart w:id="104" w:name="__RefHeading___Toc10392_627777545"/>
      <w:bookmarkStart w:id="105" w:name="_Toc236656554"/>
      <w:bookmarkEnd w:id="104"/>
      <w:r>
        <w:rPr/>
        <w:t>7. Artificial Intelligence Requirements</w:t>
      </w:r>
      <w:bookmarkEnd w:id="105"/>
    </w:p>
    <w:p>
      <w:pPr>
        <w:pStyle w:val="Normal"/>
        <w:rPr/>
      </w:pPr>
      <w:r>
        <w:rPr/>
        <w:t>Not applicable to this SRS. Team Echo's Medicare integration (FEAT-01 Medicare Account Authentication, FEAT-02 Medicare Data Retrieval and Storage, FEAT-03 Cross-Source Data Comparison) includes no machine learning or language model feature. Confirmed by Rich (Requirements Owner), 2026-08-25. CareConnect's inherited “AI supported systems” (Section 2.3) belong to a different feature area owned by a different team and are out of scope for this document.</w:t>
      </w:r>
    </w:p>
    <w:p>
      <w:pPr>
        <w:pStyle w:val="Heading2"/>
        <w:rPr/>
      </w:pPr>
      <w:bookmarkStart w:id="106" w:name="__RefHeading___Toc10394_627777545"/>
      <w:bookmarkStart w:id="107" w:name="_Toc236656555"/>
      <w:bookmarkEnd w:id="106"/>
      <w:r>
        <w:rPr/>
        <w:t>7.1 AI Feature Inventory</w:t>
      </w:r>
      <w:bookmarkEnd w:id="107"/>
    </w:p>
    <w:p>
      <w:pPr>
        <w:pStyle w:val="Normal"/>
        <w:rPr/>
      </w:pPr>
      <w:r>
        <w:rPr>
          <w:i/>
        </w:rPr>
        <w:t>Not applicable — see Section 7 introduction.</w:t>
      </w:r>
    </w:p>
    <w:p>
      <w:pPr>
        <w:pStyle w:val="Heading2"/>
        <w:rPr/>
      </w:pPr>
      <w:bookmarkStart w:id="108" w:name="__RefHeading___Toc10396_627777545"/>
      <w:bookmarkStart w:id="109" w:name="_Toc236656556"/>
      <w:bookmarkEnd w:id="108"/>
      <w:r>
        <w:rPr/>
        <w:t>7.2 Functional AI Requirements</w:t>
      </w:r>
      <w:bookmarkEnd w:id="109"/>
    </w:p>
    <w:p>
      <w:pPr>
        <w:pStyle w:val="Normal"/>
        <w:rPr/>
      </w:pPr>
      <w:r>
        <w:rPr>
          <w:i/>
        </w:rPr>
        <w:t>Not applicable — see Section 7 introduction.</w:t>
      </w:r>
    </w:p>
    <w:p>
      <w:pPr>
        <w:pStyle w:val="Heading2"/>
        <w:rPr/>
      </w:pPr>
      <w:bookmarkStart w:id="110" w:name="__RefHeading___Toc10398_627777545"/>
      <w:bookmarkStart w:id="111" w:name="_Toc236656557"/>
      <w:bookmarkEnd w:id="110"/>
      <w:r>
        <w:rPr/>
        <w:t>7.3 Data Handling and Privacy</w:t>
      </w:r>
      <w:bookmarkEnd w:id="111"/>
    </w:p>
    <w:p>
      <w:pPr>
        <w:pStyle w:val="Normal"/>
        <w:rPr/>
      </w:pPr>
      <w:r>
        <w:rPr>
          <w:i/>
        </w:rPr>
        <w:t>Not applicable — see Section 7 introduction.</w:t>
      </w:r>
    </w:p>
    <w:p>
      <w:pPr>
        <w:pStyle w:val="Heading2"/>
        <w:rPr/>
      </w:pPr>
      <w:bookmarkStart w:id="112" w:name="__RefHeading___Toc10400_627777545"/>
      <w:bookmarkStart w:id="113" w:name="_Toc236656558"/>
      <w:bookmarkEnd w:id="112"/>
      <w:r>
        <w:rPr/>
        <w:t>7.4 Human Oversight and Escalation</w:t>
      </w:r>
      <w:bookmarkEnd w:id="113"/>
    </w:p>
    <w:p>
      <w:pPr>
        <w:pStyle w:val="Normal"/>
        <w:rPr/>
      </w:pPr>
      <w:r>
        <w:rPr/>
        <w:t>Not applicable — see Section 7 introduction.</w:t>
      </w:r>
    </w:p>
    <w:p>
      <w:pPr>
        <w:pStyle w:val="Heading2"/>
        <w:rPr/>
      </w:pPr>
      <w:bookmarkStart w:id="114" w:name="__RefHeading___Toc10402_627777545"/>
      <w:bookmarkStart w:id="115" w:name="_Toc236656559"/>
      <w:bookmarkEnd w:id="114"/>
      <w:r>
        <w:rPr/>
        <w:t>7.5 Non-Diagnostic Boundary</w:t>
      </w:r>
      <w:bookmarkEnd w:id="115"/>
    </w:p>
    <w:p>
      <w:pPr>
        <w:pStyle w:val="Normal"/>
        <w:rPr/>
      </w:pPr>
      <w:r>
        <w:rPr/>
        <w:t>Not applicable — see Section 7 introduction.</w:t>
      </w:r>
    </w:p>
    <w:p>
      <w:pPr>
        <w:pStyle w:val="Heading2"/>
        <w:rPr/>
      </w:pPr>
      <w:bookmarkStart w:id="116" w:name="__RefHeading___Toc10404_627777545"/>
      <w:bookmarkStart w:id="117" w:name="_Toc236656560"/>
      <w:bookmarkEnd w:id="116"/>
      <w:r>
        <w:rPr/>
        <w:t>7.6 Non-Functional AI Requirements</w:t>
      </w:r>
      <w:bookmarkEnd w:id="117"/>
    </w:p>
    <w:p>
      <w:pPr>
        <w:pStyle w:val="Normal"/>
        <w:rPr/>
      </w:pPr>
      <w:r>
        <w:rPr>
          <w:i/>
        </w:rPr>
        <w:t>Not applicable — see Section 7 introduction.</w:t>
      </w:r>
    </w:p>
    <w:p>
      <w:pPr>
        <w:pStyle w:val="Heading2"/>
        <w:rPr/>
      </w:pPr>
      <w:bookmarkStart w:id="118" w:name="__RefHeading___Toc10406_627777545"/>
      <w:bookmarkStart w:id="119" w:name="_Toc236656561"/>
      <w:bookmarkEnd w:id="118"/>
      <w:r>
        <w:rPr/>
        <w:t>7.7 AI Evaluation Plan Summary</w:t>
      </w:r>
      <w:bookmarkEnd w:id="119"/>
    </w:p>
    <w:p>
      <w:pPr>
        <w:pStyle w:val="Normal"/>
        <w:rPr/>
      </w:pPr>
      <w:r>
        <w:rPr/>
        <w:t>Not applicable — see Section 7 introduction.</w:t>
      </w:r>
    </w:p>
    <w:p>
      <w:pPr>
        <w:pStyle w:val="Normal"/>
        <w:rPr/>
      </w:pPr>
      <w:r>
        <w:rPr/>
      </w:r>
      <w:r>
        <w:br w:type="page"/>
      </w:r>
    </w:p>
    <w:p>
      <w:pPr>
        <w:pStyle w:val="Heading1"/>
        <w:spacing w:before="0" w:after="150"/>
        <w:rPr/>
      </w:pPr>
      <w:bookmarkStart w:id="120" w:name="__RefHeading___Toc10408_627777545"/>
      <w:bookmarkStart w:id="121" w:name="_Toc236656562"/>
      <w:bookmarkEnd w:id="120"/>
      <w:r>
        <w:rPr/>
        <w:t>8. External Interface Requirements</w:t>
      </w:r>
      <w:bookmarkEnd w:id="121"/>
    </w:p>
    <w:p>
      <w:pPr>
        <w:pStyle w:val="Heading2"/>
        <w:rPr/>
      </w:pPr>
      <w:bookmarkStart w:id="122" w:name="__RefHeading___Toc10410_627777545"/>
      <w:bookmarkStart w:id="123" w:name="_Toc236656563"/>
      <w:bookmarkEnd w:id="122"/>
      <w:r>
        <w:rPr/>
        <w:t>8.1 User Interfaces</w:t>
      </w:r>
      <w:bookmarkEnd w:id="123"/>
    </w:p>
    <w:p>
      <w:pPr>
        <w:pStyle w:val="Normal"/>
        <w:rPr/>
      </w:pPr>
      <w:r>
        <w:rPr/>
        <w:t>The Medicare feature adds screens to CareConnect's existing Flutter client: a Connect Medicare Account entry point, a pre-consent notice (N-PAT-04), the Medicare-hosted authentication page (external, not rendered by CareConnect), a linking-result confirmation, and a Medicare records screen with loading, empty, and offline states (FR-MCR-27/28/29). These screens were drafted by Camilla in TDD Section 8 and validated against the User Needs Analysis. A reconciliation/delta view is specified for FEAT-03 (Section 6.3) but deferred to Milestone 2; Camilla's 2026-08-25 revision details this as a Cross-Source Delta Resolution flow (TDD Figures 8-5 and 8-6) built on the same match key as BR-05 (provider, service date, patient). Three additional screens in Camilla's draft — Share confirmation, Sharing status, and a Trend/measurement view for recurring measurements — have no backing functional requirement as of this draft (Section 1.3's FR-SHARING/FR-DELEGATION gap, and a matching gap for the trend view, which Camilla's draft traces only to an unnumbered client requirement for interactive graphs, not to a numbered FR) and are shown below only to record the gap, not as specified behavior. Accessibility requirements from Section 11.7 apply to every screen listed here.</w:t>
      </w:r>
    </w:p>
    <w:p>
      <w:pPr>
        <w:pStyle w:val="Normal"/>
        <w:spacing w:before="150" w:after="40"/>
        <w:rPr/>
      </w:pPr>
      <w:r>
        <w:rPr>
          <w:b/>
          <w:bCs/>
        </w:rPr>
        <w:t>Figure 6</w:t>
      </w:r>
    </w:p>
    <w:p>
      <w:pPr>
        <w:pStyle w:val="Normal"/>
        <w:spacing w:before="0" w:after="60"/>
        <w:rPr/>
      </w:pPr>
      <w:r>
        <w:rPr>
          <w:i/>
          <w:iCs/>
        </w:rPr>
        <w:t>Screen Flow and Navigation Map</w:t>
      </w:r>
    </w:p>
    <w:p>
      <w:pPr>
        <w:pStyle w:val="Normal"/>
        <w:pBdr>
          <w:top w:val="dashed" w:sz="6" w:space="0" w:color="999999"/>
          <w:left w:val="dashed" w:sz="6" w:space="0" w:color="999999"/>
          <w:bottom w:val="dashed" w:sz="6" w:space="0" w:color="999999"/>
          <w:right w:val="dashed" w:sz="6" w:space="0" w:color="999999"/>
        </w:pBdr>
        <w:shd w:val="clear" w:color="auto" w:fill="F5F5F5"/>
        <w:spacing w:before="40" w:after="40"/>
        <w:jc w:val="center"/>
        <w:rPr/>
      </w:pPr>
      <w:r>
        <w:rPr/>
        <w:drawing>
          <wp:inline distT="0" distB="0" distL="0" distR="0">
            <wp:extent cx="5760720" cy="337248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10"/>
                    <a:stretch>
                      <a:fillRect/>
                    </a:stretch>
                  </pic:blipFill>
                  <pic:spPr bwMode="auto">
                    <a:xfrm>
                      <a:off x="0" y="0"/>
                      <a:ext cx="5760720" cy="3372485"/>
                    </a:xfrm>
                    <a:prstGeom prst="rect">
                      <a:avLst/>
                    </a:prstGeom>
                  </pic:spPr>
                </pic:pic>
              </a:graphicData>
            </a:graphic>
          </wp:inline>
        </w:drawing>
      </w:r>
    </w:p>
    <w:p>
      <w:pPr>
        <w:pStyle w:val="Normal"/>
        <w:spacing w:before="0" w:after="160"/>
        <w:rPr/>
      </w:pPr>
      <w:r>
        <w:rPr>
          <w:i/>
        </w:rPr>
        <w:t>Note. Green screens are specified for Milestone 1 (no working code yet, Section 1.2). The amber screen is specified but deferred to Milestone 2 (FEAT-03). The three red screens are shown for completeness only — they exist in Camilla's UI draft but have no backing requirement (Section 1.3).</w:t>
      </w:r>
    </w:p>
    <w:p>
      <w:pPr>
        <w:pStyle w:val="Heading2"/>
        <w:rPr/>
      </w:pPr>
      <w:bookmarkStart w:id="124" w:name="__RefHeading___Toc10412_627777545"/>
      <w:bookmarkStart w:id="125" w:name="_Toc236656564"/>
      <w:bookmarkEnd w:id="124"/>
      <w:r>
        <w:rPr/>
        <w:t>8.2 Hardware Interfaces</w:t>
      </w:r>
      <w:bookmarkEnd w:id="125"/>
    </w:p>
    <w:p>
      <w:pPr>
        <w:pStyle w:val="Normal"/>
        <w:spacing w:before="150" w:after="40"/>
        <w:rPr/>
      </w:pPr>
      <w:r>
        <w:rPr>
          <w:b/>
        </w:rPr>
        <w:t>Table 39</w:t>
      </w:r>
    </w:p>
    <w:p>
      <w:pPr>
        <w:pStyle w:val="Normal"/>
        <w:spacing w:before="0" w:after="80"/>
        <w:rPr/>
      </w:pPr>
      <w:r>
        <w:rPr>
          <w:i/>
          <w:iCs/>
        </w:rPr>
        <w:t>Hardware Interfaces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398"/>
        <w:gridCol w:w="2401"/>
        <w:gridCol w:w="2201"/>
        <w:gridCol w:w="2359"/>
      </w:tblGrid>
      <w:tr>
        <w:trPr>
          <w:cantSplit w:val="true"/>
        </w:trPr>
        <w:tc>
          <w:tcPr>
            <w:tcW w:w="23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Interface</w:t>
            </w:r>
          </w:p>
        </w:tc>
        <w:tc>
          <w:tcPr>
            <w:tcW w:w="24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Purpose</w:t>
            </w:r>
          </w:p>
        </w:tc>
        <w:tc>
          <w:tcPr>
            <w:tcW w:w="22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Permissions required</w:t>
            </w:r>
          </w:p>
        </w:tc>
        <w:tc>
          <w:tcPr>
            <w:tcW w:w="235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Behavior if unavailable</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Camera</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Not applicable</w:t>
            </w:r>
          </w:p>
        </w:tc>
        <w:tc>
          <w:tcPr>
            <w:tcW w:w="22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None</w:t>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Not used by the Medicare feature</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Microphone</w:t>
            </w:r>
          </w:p>
        </w:tc>
        <w:tc>
          <w:tcPr>
            <w:tcW w:w="24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Not applicable</w:t>
            </w:r>
          </w:p>
        </w:tc>
        <w:tc>
          <w:tcPr>
            <w:tcW w:w="22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None</w:t>
            </w:r>
          </w:p>
        </w:tc>
        <w:tc>
          <w:tcPr>
            <w:tcW w:w="23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Not used by the Medicare feature</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Location services</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Not applicable</w:t>
            </w:r>
          </w:p>
        </w:tc>
        <w:tc>
          <w:tcPr>
            <w:tcW w:w="22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None</w:t>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Not used by the Medicare feature</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Local storage</w:t>
            </w:r>
          </w:p>
        </w:tc>
        <w:tc>
          <w:tcPr>
            <w:tcW w:w="24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Cached Medicare records and connection state (Section 9)</w:t>
            </w:r>
          </w:p>
        </w:tc>
        <w:tc>
          <w:tcPr>
            <w:tcW w:w="22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App storage, no runtime permission</w:t>
            </w:r>
          </w:p>
        </w:tc>
        <w:tc>
          <w:tcPr>
            <w:tcW w:w="23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Falls back to a live Medicare call; if offline too, FR-MCR-29 applies</w:t>
            </w:r>
          </w:p>
        </w:tc>
      </w:tr>
      <w:tr>
        <w:trPr>
          <w:cantSplit w:val="true"/>
        </w:trPr>
        <w:tc>
          <w:tcPr>
            <w:tcW w:w="23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Wearable or Bluetooth device</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Not applicable</w:t>
            </w:r>
          </w:p>
        </w:tc>
        <w:tc>
          <w:tcPr>
            <w:tcW w:w="22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None</w:t>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Not used by the Medicare feature</w:t>
            </w:r>
          </w:p>
        </w:tc>
      </w:tr>
    </w:tbl>
    <w:p>
      <w:pPr>
        <w:pStyle w:val="Normal"/>
        <w:spacing w:before="60" w:after="160"/>
        <w:rPr/>
      </w:pPr>
      <w:r>
        <w:rPr>
          <w:i/>
          <w:iCs/>
        </w:rPr>
        <w:t>Note. The last column is required. A denied permission is a normal condition, not an exception.</w:t>
      </w:r>
    </w:p>
    <w:p>
      <w:pPr>
        <w:pStyle w:val="Heading2"/>
        <w:rPr/>
      </w:pPr>
      <w:bookmarkStart w:id="126" w:name="__RefHeading___Toc10414_627777545"/>
      <w:bookmarkStart w:id="127" w:name="_Toc236656565"/>
      <w:bookmarkEnd w:id="126"/>
      <w:r>
        <w:rPr/>
        <w:t>8.3 Software Interfaces</w:t>
      </w:r>
      <w:bookmarkEnd w:id="127"/>
    </w:p>
    <w:p>
      <w:pPr>
        <w:pStyle w:val="Normal"/>
        <w:spacing w:before="150" w:after="40"/>
        <w:rPr/>
      </w:pPr>
      <w:r>
        <w:rPr>
          <w:b/>
        </w:rPr>
        <w:t>Table 40</w:t>
      </w:r>
    </w:p>
    <w:p>
      <w:pPr>
        <w:pStyle w:val="Normal"/>
        <w:spacing w:before="0" w:after="80"/>
        <w:rPr/>
      </w:pPr>
      <w:r>
        <w:rPr>
          <w:i/>
          <w:iCs/>
        </w:rPr>
        <w:t>Software Interfaces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599"/>
        <w:gridCol w:w="1889"/>
        <w:gridCol w:w="1098"/>
        <w:gridCol w:w="1196"/>
        <w:gridCol w:w="1324"/>
        <w:gridCol w:w="1296"/>
        <w:gridCol w:w="999"/>
        <w:gridCol w:w="958"/>
      </w:tblGrid>
      <w:tr>
        <w:trPr>
          <w:tblHeader w:val="true"/>
          <w:cantSplit w:val="true"/>
        </w:trPr>
        <w:tc>
          <w:tcPr>
            <w:tcW w:w="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ID</w:t>
            </w:r>
          </w:p>
        </w:tc>
        <w:tc>
          <w:tcPr>
            <w:tcW w:w="188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Interface</w:t>
            </w:r>
          </w:p>
        </w:tc>
        <w:tc>
          <w:tcPr>
            <w:tcW w:w="10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Purpose</w:t>
            </w:r>
          </w:p>
        </w:tc>
        <w:tc>
          <w:tcPr>
            <w:tcW w:w="119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Protocol</w:t>
            </w:r>
          </w:p>
        </w:tc>
        <w:tc>
          <w:tcPr>
            <w:tcW w:w="1324"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Authentication</w:t>
            </w:r>
          </w:p>
        </w:tc>
        <w:tc>
          <w:tcPr>
            <w:tcW w:w="129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Data exchanged</w:t>
            </w:r>
          </w:p>
        </w:tc>
        <w:tc>
          <w:tcPr>
            <w:tcW w:w="9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Limits and cost</w:t>
            </w:r>
          </w:p>
        </w:tc>
        <w:tc>
          <w:tcPr>
            <w:tcW w:w="95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Fallback</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IF-01</w:t>
            </w:r>
          </w:p>
        </w:tc>
        <w:tc>
          <w:tcPr>
            <w:tcW w:w="188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AWS Amplify / CloudFront / API Gateway</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Frontend hosting, CDN, and backend entry point (TDD Section 3.4)</w:t>
            </w:r>
          </w:p>
        </w:tc>
        <w:tc>
          <w:tcPr>
            <w:tcW w:w="11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HTTPS</w:t>
            </w:r>
          </w:p>
        </w:tc>
        <w:tc>
          <w:tcPr>
            <w:tcW w:w="13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AWS IAM (existing)</w:t>
            </w:r>
          </w:p>
        </w:tc>
        <w:tc>
          <w:tcPr>
            <w:tcW w:w="12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n/a (infrastructure)</w:t>
            </w:r>
          </w:p>
        </w:tc>
        <w:tc>
          <w:tcPr>
            <w:tcW w:w="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Amplify GitHub app approval currently blocked (TDD Section 3.7)</w:t>
            </w:r>
          </w:p>
        </w:tc>
        <w:tc>
          <w:tcPr>
            <w:tcW w:w="9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n/a</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IF-02</w:t>
            </w:r>
          </w:p>
        </w:tc>
        <w:tc>
          <w:tcPr>
            <w:tcW w:w="188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CareConnect existing identity provider</w:t>
            </w:r>
          </w:p>
        </w:tc>
        <w:tc>
          <w:tcPr>
            <w:tcW w:w="10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Authenticates the CareConnect user before Medicare linking begins (UC-01 precondition)</w:t>
            </w:r>
          </w:p>
        </w:tc>
        <w:tc>
          <w:tcPr>
            <w:tcW w:w="1196"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Existing CareConnect auth</w:t>
            </w:r>
          </w:p>
        </w:tc>
        <w:tc>
          <w:tcPr>
            <w:tcW w:w="1324"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Existing SecurityConfig</w:t>
            </w:r>
          </w:p>
        </w:tc>
        <w:tc>
          <w:tcPr>
            <w:tcW w:w="1296"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User session/role</w:t>
            </w:r>
          </w:p>
        </w:tc>
        <w:tc>
          <w:tcPr>
            <w:tcW w:w="9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n/a</w:t>
            </w:r>
          </w:p>
        </w:tc>
        <w:tc>
          <w:tcPr>
            <w:tcW w:w="95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Existing CareConnect sign-in</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IF-03</w:t>
            </w:r>
          </w:p>
        </w:tc>
        <w:tc>
          <w:tcPr>
            <w:tcW w:w="188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CMS Blue Button 2.0 API</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Medicare visit and billing record retrieval</w:t>
            </w:r>
          </w:p>
        </w:tc>
        <w:tc>
          <w:tcPr>
            <w:tcW w:w="11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REST, FHIR (version per OQ-06)</w:t>
            </w:r>
          </w:p>
        </w:tc>
        <w:tc>
          <w:tcPr>
            <w:tcW w:w="13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OAuth 2.0 (Medicare-hosted)</w:t>
            </w:r>
          </w:p>
        </w:tc>
        <w:tc>
          <w:tcPr>
            <w:tcW w:w="12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Visit/billing records (FR-MCR-13/14)</w:t>
            </w:r>
          </w:p>
        </w:tc>
        <w:tc>
          <w:tcPr>
            <w:tcW w:w="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Sandbox rate limits; access not yet confirmed (OQ-03)</w:t>
            </w:r>
          </w:p>
        </w:tc>
        <w:tc>
          <w:tcPr>
            <w:tcW w:w="9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Retry per FR-MCR-23, then stored records with ERR-MCR-03</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IF-04</w:t>
            </w:r>
          </w:p>
        </w:tc>
        <w:tc>
          <w:tcPr>
            <w:tcW w:w="188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Messaging or notification service</w:t>
            </w:r>
          </w:p>
        </w:tc>
        <w:tc>
          <w:tcPr>
            <w:tcW w:w="10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applicable</w:t>
            </w:r>
          </w:p>
        </w:tc>
        <w:tc>
          <w:tcPr>
            <w:tcW w:w="1196"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n/a</w:t>
            </w:r>
          </w:p>
        </w:tc>
        <w:tc>
          <w:tcPr>
            <w:tcW w:w="1324"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n/a</w:t>
            </w:r>
          </w:p>
        </w:tc>
        <w:tc>
          <w:tcPr>
            <w:tcW w:w="1296"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n/a</w:t>
            </w:r>
          </w:p>
        </w:tc>
        <w:tc>
          <w:tcPr>
            <w:tcW w:w="9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n/a</w:t>
            </w:r>
          </w:p>
        </w:tc>
        <w:tc>
          <w:tcPr>
            <w:tcW w:w="95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n/a</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IF-05</w:t>
            </w:r>
          </w:p>
        </w:tc>
        <w:tc>
          <w:tcPr>
            <w:tcW w:w="188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Payment processor</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applicable — the Medicare feature involves no payment</w:t>
            </w:r>
          </w:p>
        </w:tc>
        <w:tc>
          <w:tcPr>
            <w:tcW w:w="11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n/a</w:t>
            </w:r>
          </w:p>
        </w:tc>
        <w:tc>
          <w:tcPr>
            <w:tcW w:w="13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n/a</w:t>
            </w:r>
          </w:p>
        </w:tc>
        <w:tc>
          <w:tcPr>
            <w:tcW w:w="12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n/a</w:t>
            </w:r>
          </w:p>
        </w:tc>
        <w:tc>
          <w:tcPr>
            <w:tcW w:w="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n/a</w:t>
            </w:r>
          </w:p>
        </w:tc>
        <w:tc>
          <w:tcPr>
            <w:tcW w:w="9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n/a</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IF-06</w:t>
            </w:r>
          </w:p>
        </w:tc>
        <w:tc>
          <w:tcPr>
            <w:tcW w:w="188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Model or AI service</w:t>
            </w:r>
          </w:p>
        </w:tc>
        <w:tc>
          <w:tcPr>
            <w:tcW w:w="10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applicable — see Section 7</w:t>
            </w:r>
          </w:p>
        </w:tc>
        <w:tc>
          <w:tcPr>
            <w:tcW w:w="1196"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n/a</w:t>
            </w:r>
          </w:p>
        </w:tc>
        <w:tc>
          <w:tcPr>
            <w:tcW w:w="1324"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n/a</w:t>
            </w:r>
          </w:p>
        </w:tc>
        <w:tc>
          <w:tcPr>
            <w:tcW w:w="1296"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n/a</w:t>
            </w:r>
          </w:p>
        </w:tc>
        <w:tc>
          <w:tcPr>
            <w:tcW w:w="9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n/a</w:t>
            </w:r>
          </w:p>
        </w:tc>
        <w:tc>
          <w:tcPr>
            <w:tcW w:w="95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n/a</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IF-07</w:t>
            </w:r>
          </w:p>
        </w:tc>
        <w:tc>
          <w:tcPr>
            <w:tcW w:w="188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Peer EHR sources (Epic, Aetna, Oracle Health)</w:t>
            </w:r>
          </w:p>
        </w:tc>
        <w:tc>
          <w:tcPr>
            <w:tcW w:w="10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Cross-source comparison data for FEAT-03 (M2, deferred)</w:t>
            </w:r>
          </w:p>
        </w:tc>
        <w:tc>
          <w:tcPr>
            <w:tcW w:w="11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REST/FHIR (assumed; not yet confirmed)</w:t>
            </w:r>
          </w:p>
        </w:tc>
        <w:tc>
          <w:tcPr>
            <w:tcW w:w="13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confirmed</w:t>
            </w:r>
          </w:p>
        </w:tc>
        <w:tc>
          <w:tcPr>
            <w:tcW w:w="12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Visit records for matching (FR-XSRC-01)</w:t>
            </w:r>
          </w:p>
        </w:tc>
        <w:tc>
          <w:tcPr>
            <w:tcW w:w="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Peer-team interfaces do not exist yet (OQ-04)</w:t>
            </w:r>
          </w:p>
        </w:tc>
        <w:tc>
          <w:tcPr>
            <w:tcW w:w="9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Comparison marked unavailable (FR-XSRC-05, ERR-XSRC-01)</w:t>
            </w:r>
          </w:p>
        </w:tc>
      </w:tr>
    </w:tbl>
    <w:p>
      <w:pPr>
        <w:pStyle w:val="Normal"/>
        <w:spacing w:before="60" w:after="160"/>
        <w:rPr/>
      </w:pPr>
      <w:r>
        <w:rPr>
          <w:i/>
          <w:iCs/>
        </w:rPr>
        <w:t>Note. Each interface is also a risk in Section 13 and a dependency in Section 2.8. Keep the three consistent.</w:t>
      </w:r>
    </w:p>
    <w:p>
      <w:pPr>
        <w:pStyle w:val="Heading2"/>
        <w:rPr/>
      </w:pPr>
      <w:bookmarkStart w:id="128" w:name="__RefHeading___Toc10416_627777545"/>
      <w:bookmarkStart w:id="129" w:name="_Toc236656566"/>
      <w:bookmarkEnd w:id="128"/>
      <w:r>
        <w:rPr/>
        <w:t>8.4 Communications Interfaces</w:t>
      </w:r>
      <w:bookmarkEnd w:id="129"/>
    </w:p>
    <w:p>
      <w:pPr>
        <w:pStyle w:val="Normal"/>
        <w:rPr/>
      </w:pPr>
      <w:r>
        <w:rPr/>
        <w:t>All Medicare-related traffic uses HTTPS/TLS. The Medicare account-linking flow uses OAuth 2.0 authorization-code redirects; the resulting access token authorizes later Blue Button 2.0 API calls over REST and is never exposed to the client or written to a log (NFR-SEC-03). Payloads are JSON, following FHIR resource shapes where FR-MCR-15 applies (M2). When the device has no network connection, no request is attempted and stored data is shown with an offline indicator (FR-MCR-26, FR-MCR-29); when Medicare itself is unreachable or rate-limited, the client retries with exponential backoff before falling back to stored data with a refresh-failed indicator (FR-MCR-23, FR-MCR-24). No real-time transport (WebSocket/WebRTC) is used by this feature.</w:t>
      </w:r>
    </w:p>
    <w:p>
      <w:pPr>
        <w:pStyle w:val="Heading2"/>
        <w:rPr/>
      </w:pPr>
      <w:bookmarkStart w:id="130" w:name="__RefHeading___Toc10418_627777545"/>
      <w:bookmarkStart w:id="131" w:name="_Toc236656567"/>
      <w:bookmarkEnd w:id="130"/>
      <w:r>
        <w:rPr/>
        <w:t>8.5 API Contract Summary</w:t>
      </w:r>
      <w:bookmarkEnd w:id="131"/>
    </w:p>
    <w:p>
      <w:pPr>
        <w:pStyle w:val="Normal"/>
        <w:rPr/>
      </w:pPr>
      <w:r>
        <w:rPr>
          <w:i/>
        </w:rPr>
        <w:t>Not yet defined. No backend implementation exists this milestone (Section 1.2), so there is no internal API to contract yet. CareConnect's backend endpoints for FEAT-01/FEAT-02 will be designed and documented here when implementation begins in Milestone 2, following the component boundaries already set in TDD Section 3 (MedicareConnectionController, MedicareSyncService, MedicareDataService).</w:t>
      </w:r>
    </w:p>
    <w:p>
      <w:pPr>
        <w:pStyle w:val="Normal"/>
        <w:spacing w:before="60" w:after="160"/>
        <w:rPr/>
      </w:pPr>
      <w:r>
        <w:rPr>
          <w:i/>
          <w:iCs/>
        </w:rPr>
        <w:t>Note. Full schemas belong in the Technical Design Document. This table exists so requirements can trace to an interface.</w:t>
      </w:r>
    </w:p>
    <w:p>
      <w:pPr>
        <w:pStyle w:val="Heading2"/>
        <w:rPr/>
      </w:pPr>
      <w:bookmarkStart w:id="132" w:name="__RefHeading___Toc10420_627777545"/>
      <w:bookmarkStart w:id="133" w:name="_Toc236656568"/>
      <w:bookmarkEnd w:id="132"/>
      <w:r>
        <w:rPr/>
        <w:t>8.6 Error and Message Catalog</w:t>
      </w:r>
      <w:bookmarkEnd w:id="133"/>
    </w:p>
    <w:p>
      <w:pPr>
        <w:pStyle w:val="Normal"/>
        <w:spacing w:before="150" w:after="40"/>
        <w:rPr/>
      </w:pPr>
      <w:r>
        <w:rPr>
          <w:b/>
        </w:rPr>
        <w:t>Table 41</w:t>
      </w:r>
    </w:p>
    <w:p>
      <w:pPr>
        <w:pStyle w:val="Normal"/>
        <w:spacing w:before="0" w:after="80"/>
        <w:rPr/>
      </w:pPr>
      <w:r>
        <w:rPr>
          <w:i/>
          <w:iCs/>
        </w:rPr>
        <w:t>Error and User Message Catalog</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900"/>
        <w:gridCol w:w="1899"/>
        <w:gridCol w:w="2000"/>
        <w:gridCol w:w="2201"/>
        <w:gridCol w:w="899"/>
        <w:gridCol w:w="1460"/>
      </w:tblGrid>
      <w:tr>
        <w:trPr>
          <w:tblHeader w:val="true"/>
          <w:cantSplit w:val="true"/>
        </w:trPr>
        <w:tc>
          <w:tcPr>
            <w:tcW w:w="9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Error ID</w:t>
            </w:r>
          </w:p>
        </w:tc>
        <w:tc>
          <w:tcPr>
            <w:tcW w:w="18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Condition</w:t>
            </w:r>
          </w:p>
        </w:tc>
        <w:tc>
          <w:tcPr>
            <w:tcW w:w="2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System behavior</w:t>
            </w:r>
          </w:p>
        </w:tc>
        <w:tc>
          <w:tcPr>
            <w:tcW w:w="22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User-visible message</w:t>
            </w:r>
          </w:p>
        </w:tc>
        <w:tc>
          <w:tcPr>
            <w:tcW w:w="8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Logged?</w:t>
            </w:r>
          </w:p>
        </w:tc>
        <w:tc>
          <w:tcPr>
            <w:tcW w:w="14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Requirement</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ERR-MCR-01</w:t>
            </w:r>
          </w:p>
        </w:tc>
        <w:tc>
          <w:tcPr>
            <w:tcW w:w="18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Medicare authentication endpoint unreachable or exceeds timeout</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Terminate linking; leave Unlinked</w:t>
            </w:r>
          </w:p>
        </w:tc>
        <w:tc>
          <w:tcPr>
            <w:tcW w:w="22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w:t>
            </w:r>
            <w:r>
              <w:rPr>
                <w:b w:val="false"/>
                <w:i w:val="false"/>
                <w:sz w:val="16"/>
              </w:rPr>
              <w:t>We couldn't reach Medicare. Try connecting again in a few minutes.”</w:t>
            </w:r>
          </w:p>
        </w:tc>
        <w:tc>
          <w:tcPr>
            <w:tcW w:w="8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Yes</w:t>
            </w:r>
          </w:p>
        </w:tc>
        <w:tc>
          <w:tcPr>
            <w:tcW w:w="14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FR-MCR-07</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ERR-MCR-02</w:t>
            </w:r>
          </w:p>
        </w:tc>
        <w:tc>
          <w:tcPr>
            <w:tcW w:w="18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Token exchange returns an error response</w:t>
            </w:r>
          </w:p>
        </w:tc>
        <w:tc>
          <w:tcPr>
            <w:tcW w:w="2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Terminate linking; store no token</w:t>
            </w:r>
          </w:p>
        </w:tc>
        <w:tc>
          <w:tcPr>
            <w:tcW w:w="22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w:t>
            </w:r>
            <w:r>
              <w:rPr>
                <w:b w:val="false"/>
                <w:i w:val="false"/>
                <w:sz w:val="16"/>
              </w:rPr>
              <w:t>Medicare couldn't complete the connection. Try connecting again.”</w:t>
            </w:r>
          </w:p>
        </w:tc>
        <w:tc>
          <w:tcPr>
            <w:tcW w:w="8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Yes</w:t>
            </w:r>
          </w:p>
        </w:tc>
        <w:tc>
          <w:tcPr>
            <w:tcW w:w="14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FR-MCR-08</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ERR-MCR-03</w:t>
            </w:r>
          </w:p>
        </w:tc>
        <w:tc>
          <w:tcPr>
            <w:tcW w:w="18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Medicare data request fails after permitted retries</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Display stored records with refresh-failed status</w:t>
            </w:r>
          </w:p>
        </w:tc>
        <w:tc>
          <w:tcPr>
            <w:tcW w:w="22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w:t>
            </w:r>
            <w:r>
              <w:rPr>
                <w:b w:val="false"/>
                <w:i w:val="false"/>
                <w:sz w:val="16"/>
              </w:rPr>
              <w:t>Showing your saved records. We couldn't check Medicare for updates.”</w:t>
            </w:r>
          </w:p>
        </w:tc>
        <w:tc>
          <w:tcPr>
            <w:tcW w:w="8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Yes</w:t>
            </w:r>
          </w:p>
        </w:tc>
        <w:tc>
          <w:tcPr>
            <w:tcW w:w="14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FR-MCR-24</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ERR-MCR-04</w:t>
            </w:r>
          </w:p>
        </w:tc>
        <w:tc>
          <w:tcPr>
            <w:tcW w:w="18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Device has no network connection at link initiation</w:t>
            </w:r>
          </w:p>
        </w:tc>
        <w:tc>
          <w:tcPr>
            <w:tcW w:w="2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Do not redirect</w:t>
            </w:r>
          </w:p>
        </w:tc>
        <w:tc>
          <w:tcPr>
            <w:tcW w:w="22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w:t>
            </w:r>
            <w:r>
              <w:rPr>
                <w:b w:val="false"/>
                <w:i w:val="false"/>
                <w:sz w:val="16"/>
              </w:rPr>
              <w:t>You need an internet connection to connect your Medicare account.”</w:t>
            </w:r>
          </w:p>
        </w:tc>
        <w:tc>
          <w:tcPr>
            <w:tcW w:w="8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No</w:t>
            </w:r>
          </w:p>
        </w:tc>
        <w:tc>
          <w:tcPr>
            <w:tcW w:w="14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6"/>
              </w:rPr>
              <w:t>FR-MCR-26</w:t>
            </w:r>
          </w:p>
        </w:tc>
      </w:tr>
      <w:tr>
        <w:trPr>
          <w:cantSplit w:val="true"/>
        </w:trPr>
        <w:tc>
          <w:tcPr>
            <w:tcW w:w="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ERR-MCR-05</w:t>
            </w:r>
          </w:p>
        </w:tc>
        <w:tc>
          <w:tcPr>
            <w:tcW w:w="18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Stored token rejected as expired or invalid</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Set Unlinked; prompt re-link</w:t>
            </w:r>
          </w:p>
        </w:tc>
        <w:tc>
          <w:tcPr>
            <w:tcW w:w="22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w:t>
            </w:r>
            <w:r>
              <w:rPr>
                <w:b w:val="false"/>
                <w:i w:val="false"/>
                <w:sz w:val="16"/>
              </w:rPr>
              <w:t>Your Medicare connection has expired. Connect again to see current records.”</w:t>
            </w:r>
          </w:p>
        </w:tc>
        <w:tc>
          <w:tcPr>
            <w:tcW w:w="8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Yes</w:t>
            </w:r>
          </w:p>
        </w:tc>
        <w:tc>
          <w:tcPr>
            <w:tcW w:w="14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FR-MCR-09</w:t>
            </w:r>
          </w:p>
        </w:tc>
      </w:tr>
    </w:tbl>
    <w:p>
      <w:pPr>
        <w:pStyle w:val="Normal"/>
        <w:spacing w:before="60" w:after="160"/>
        <w:rPr/>
      </w:pPr>
      <w:r>
        <w:rPr>
          <w:i/>
          <w:iCs/>
        </w:rPr>
        <w:t>Note. User-visible message text is a requirement, not a coding detail. It is also what the User Guide and the accessibility review will quote.</w:t>
      </w:r>
    </w:p>
    <w:p>
      <w:pPr>
        <w:pStyle w:val="Heading1"/>
        <w:rPr/>
      </w:pPr>
      <w:bookmarkStart w:id="134" w:name="__RefHeading___Toc10422_627777545"/>
      <w:bookmarkStart w:id="135" w:name="_Toc236656569"/>
      <w:bookmarkEnd w:id="134"/>
      <w:r>
        <w:rPr/>
        <w:t>9. Data Requirements</w:t>
      </w:r>
      <w:bookmarkEnd w:id="135"/>
    </w:p>
    <w:p>
      <w:pPr>
        <w:pStyle w:val="Heading2"/>
        <w:rPr/>
      </w:pPr>
      <w:bookmarkStart w:id="136" w:name="__RefHeading___Toc10424_627777545"/>
      <w:bookmarkStart w:id="137" w:name="_Toc236656570"/>
      <w:bookmarkEnd w:id="136"/>
      <w:r>
        <w:rPr/>
        <w:t>9.1 Logical Data Model</w:t>
      </w:r>
      <w:bookmarkEnd w:id="137"/>
    </w:p>
    <w:p>
      <w:pPr>
        <w:pStyle w:val="Normal"/>
        <w:spacing w:before="150" w:after="40"/>
        <w:rPr/>
      </w:pPr>
      <w:r>
        <w:rPr>
          <w:b/>
          <w:bCs/>
        </w:rPr>
        <w:t>Figure 7</w:t>
      </w:r>
    </w:p>
    <w:p>
      <w:pPr>
        <w:pStyle w:val="Normal"/>
        <w:spacing w:before="0" w:after="60"/>
        <w:rPr/>
      </w:pPr>
      <w:r>
        <w:rPr>
          <w:i/>
          <w:iCs/>
        </w:rPr>
        <w:t>Entity Relationship Diagram</w:t>
      </w:r>
    </w:p>
    <w:p>
      <w:pPr>
        <w:pStyle w:val="Normal"/>
        <w:pBdr>
          <w:top w:val="dashed" w:sz="6" w:space="0" w:color="999999"/>
          <w:left w:val="dashed" w:sz="6" w:space="0" w:color="999999"/>
          <w:bottom w:val="dashed" w:sz="6" w:space="0" w:color="999999"/>
          <w:right w:val="dashed" w:sz="6" w:space="0" w:color="999999"/>
        </w:pBdr>
        <w:shd w:val="clear" w:color="auto" w:fill="F5F5F5"/>
        <w:spacing w:before="40" w:after="40"/>
        <w:jc w:val="center"/>
        <w:rPr/>
      </w:pPr>
      <w:r>
        <w:rPr/>
        <w:drawing>
          <wp:inline distT="0" distB="0" distL="0" distR="0">
            <wp:extent cx="5760720" cy="35306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1"/>
                    <a:stretch>
                      <a:fillRect/>
                    </a:stretch>
                  </pic:blipFill>
                  <pic:spPr bwMode="auto">
                    <a:xfrm>
                      <a:off x="0" y="0"/>
                      <a:ext cx="5760720" cy="3530600"/>
                    </a:xfrm>
                    <a:prstGeom prst="rect">
                      <a:avLst/>
                    </a:prstGeom>
                  </pic:spPr>
                </pic:pic>
              </a:graphicData>
            </a:graphic>
          </wp:inline>
        </w:drawing>
      </w:r>
    </w:p>
    <w:p>
      <w:pPr>
        <w:pStyle w:val="Normal"/>
        <w:spacing w:before="0" w:after="160"/>
        <w:rPr/>
      </w:pPr>
      <w:r>
        <w:rPr>
          <w:i/>
          <w:iCs/>
        </w:rPr>
        <w:t>Note. medicare_connection and medicare_records are new tables; caregiver_patient_link and consent_grant are existing tables reused as-is, with consent_grant gaining a new MEDICARE_VIEW scope value. reconciliation_delta is new and deferred to Milestone 2 with the rest of FEAT-03. Every field on medicare_connection and medicare_records is PHI (Section 9.2).</w:t>
      </w:r>
    </w:p>
    <w:p>
      <w:pPr>
        <w:pStyle w:val="Heading2"/>
        <w:rPr/>
      </w:pPr>
      <w:bookmarkStart w:id="138" w:name="__RefHeading___Toc10426_627777545"/>
      <w:bookmarkStart w:id="139" w:name="_Toc236656571"/>
      <w:bookmarkEnd w:id="138"/>
      <w:r>
        <w:rPr/>
        <w:t>9.2 Data Dictionary</w:t>
      </w:r>
      <w:bookmarkEnd w:id="139"/>
    </w:p>
    <w:p>
      <w:pPr>
        <w:pStyle w:val="Normal"/>
        <w:spacing w:before="150" w:after="40"/>
        <w:rPr/>
      </w:pPr>
      <w:r>
        <w:rPr>
          <w:b/>
        </w:rPr>
        <w:t>Table 42</w:t>
      </w:r>
    </w:p>
    <w:p>
      <w:pPr>
        <w:pStyle w:val="Normal"/>
        <w:spacing w:before="0" w:after="80"/>
        <w:rPr/>
      </w:pPr>
      <w:r>
        <w:rPr>
          <w:i/>
          <w:iCs/>
        </w:rPr>
        <w:t>Data Dictionary</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510"/>
        <w:gridCol w:w="1224"/>
        <w:gridCol w:w="1442"/>
        <w:gridCol w:w="792"/>
        <w:gridCol w:w="2447"/>
        <w:gridCol w:w="720"/>
        <w:gridCol w:w="1224"/>
      </w:tblGrid>
      <w:tr>
        <w:trPr>
          <w:tblHeader w:val="true"/>
          <w:cantSplit w:val="true"/>
        </w:trPr>
        <w:tc>
          <w:tcPr>
            <w:tcW w:w="151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Entity</w:t>
            </w:r>
          </w:p>
        </w:tc>
        <w:tc>
          <w:tcPr>
            <w:tcW w:w="1224"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Attribute</w:t>
            </w:r>
          </w:p>
        </w:tc>
        <w:tc>
          <w:tcPr>
            <w:tcW w:w="144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Type</w:t>
            </w:r>
          </w:p>
        </w:tc>
        <w:tc>
          <w:tcPr>
            <w:tcW w:w="79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Required</w:t>
            </w:r>
          </w:p>
        </w:tc>
        <w:tc>
          <w:tcPr>
            <w:tcW w:w="2447"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Constraints and validation</w:t>
            </w:r>
          </w:p>
        </w:tc>
        <w:tc>
          <w:tcPr>
            <w:tcW w:w="72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Class</w:t>
            </w:r>
          </w:p>
        </w:tc>
        <w:tc>
          <w:tcPr>
            <w:tcW w:w="1224"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Retention</w:t>
            </w:r>
          </w:p>
        </w:tc>
      </w:tr>
      <w:tr>
        <w:trPr>
          <w:cantSplit w:val="true"/>
        </w:trPr>
        <w:tc>
          <w:tcPr>
            <w:tcW w:w="151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medicare_connection</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patient_id</w:t>
            </w:r>
          </w:p>
        </w:tc>
        <w:tc>
          <w:tcPr>
            <w:tcW w:w="14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UUID</w:t>
            </w:r>
          </w:p>
        </w:tc>
        <w:tc>
          <w:tcPr>
            <w:tcW w:w="79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Yes</w:t>
            </w:r>
          </w:p>
        </w:tc>
        <w:tc>
          <w:tcPr>
            <w:tcW w:w="244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Primary key, foreign key to User</w:t>
            </w:r>
          </w:p>
        </w:tc>
        <w:tc>
          <w:tcPr>
            <w:tcW w:w="72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PHI</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Deleted on unlink (FR-MCR-11)</w:t>
            </w:r>
          </w:p>
        </w:tc>
      </w:tr>
      <w:tr>
        <w:trPr>
          <w:cantSplit w:val="true"/>
        </w:trPr>
        <w:tc>
          <w:tcPr>
            <w:tcW w:w="151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medicare_connection</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access_token</w:t>
            </w:r>
          </w:p>
        </w:tc>
        <w:tc>
          <w:tcPr>
            <w:tcW w:w="14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text, encrypted at rest</w:t>
            </w:r>
          </w:p>
        </w:tc>
        <w:tc>
          <w:tcPr>
            <w:tcW w:w="79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Yes</w:t>
            </w:r>
          </w:p>
        </w:tc>
        <w:tc>
          <w:tcPr>
            <w:tcW w:w="244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Never returned to any client (NFR-SEC-03)</w:t>
            </w:r>
          </w:p>
        </w:tc>
        <w:tc>
          <w:tcPr>
            <w:tcW w:w="72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PHI/Credential</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Deleted on unlink (FR-MCR-11)</w:t>
            </w:r>
          </w:p>
        </w:tc>
      </w:tr>
      <w:tr>
        <w:trPr>
          <w:cantSplit w:val="true"/>
        </w:trPr>
        <w:tc>
          <w:tcPr>
            <w:tcW w:w="151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medicare_connection</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link_state</w:t>
            </w:r>
          </w:p>
        </w:tc>
        <w:tc>
          <w:tcPr>
            <w:tcW w:w="14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enum (Linked, Unlinked)</w:t>
            </w:r>
          </w:p>
        </w:tc>
        <w:tc>
          <w:tcPr>
            <w:tcW w:w="79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Yes</w:t>
            </w:r>
          </w:p>
        </w:tc>
        <w:tc>
          <w:tcPr>
            <w:tcW w:w="244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See FR-MCR-03/05/09/10</w:t>
            </w:r>
          </w:p>
        </w:tc>
        <w:tc>
          <w:tcPr>
            <w:tcW w:w="72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None</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Life of connection</w:t>
            </w:r>
          </w:p>
        </w:tc>
      </w:tr>
      <w:tr>
        <w:trPr>
          <w:cantSplit w:val="true"/>
        </w:trPr>
        <w:tc>
          <w:tcPr>
            <w:tcW w:w="151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medicare_records</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record_id</w:t>
            </w:r>
          </w:p>
        </w:tc>
        <w:tc>
          <w:tcPr>
            <w:tcW w:w="14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UUID</w:t>
            </w:r>
          </w:p>
        </w:tc>
        <w:tc>
          <w:tcPr>
            <w:tcW w:w="79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Yes</w:t>
            </w:r>
          </w:p>
        </w:tc>
        <w:tc>
          <w:tcPr>
            <w:tcW w:w="244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Primary key</w:t>
            </w:r>
          </w:p>
        </w:tc>
        <w:tc>
          <w:tcPr>
            <w:tcW w:w="72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PHI</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Deleted on unlink (FR-MCR-11)</w:t>
            </w:r>
          </w:p>
        </w:tc>
      </w:tr>
      <w:tr>
        <w:trPr>
          <w:cantSplit w:val="true"/>
        </w:trPr>
        <w:tc>
          <w:tcPr>
            <w:tcW w:w="151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medicare_records</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patient_id</w:t>
            </w:r>
          </w:p>
        </w:tc>
        <w:tc>
          <w:tcPr>
            <w:tcW w:w="14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UUID</w:t>
            </w:r>
          </w:p>
        </w:tc>
        <w:tc>
          <w:tcPr>
            <w:tcW w:w="79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Yes</w:t>
            </w:r>
          </w:p>
        </w:tc>
        <w:tc>
          <w:tcPr>
            <w:tcW w:w="244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Foreign key</w:t>
            </w:r>
          </w:p>
        </w:tc>
        <w:tc>
          <w:tcPr>
            <w:tcW w:w="72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PHI</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Deleted on unlink (FR-MCR-11)</w:t>
            </w:r>
          </w:p>
        </w:tc>
      </w:tr>
      <w:tr>
        <w:trPr>
          <w:cantSplit w:val="true"/>
        </w:trPr>
        <w:tc>
          <w:tcPr>
            <w:tcW w:w="151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medicare_records</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source</w:t>
            </w:r>
          </w:p>
        </w:tc>
        <w:tc>
          <w:tcPr>
            <w:tcW w:w="14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enum (Medicare, peer source)</w:t>
            </w:r>
          </w:p>
        </w:tc>
        <w:tc>
          <w:tcPr>
            <w:tcW w:w="79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Yes</w:t>
            </w:r>
          </w:p>
        </w:tc>
        <w:tc>
          <w:tcPr>
            <w:tcW w:w="244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Drives FEAT-03 comparison (M2)</w:t>
            </w:r>
          </w:p>
        </w:tc>
        <w:tc>
          <w:tcPr>
            <w:tcW w:w="72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None</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Life of record</w:t>
            </w:r>
          </w:p>
        </w:tc>
      </w:tr>
      <w:tr>
        <w:trPr>
          <w:cantSplit w:val="true"/>
        </w:trPr>
        <w:tc>
          <w:tcPr>
            <w:tcW w:w="151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medicare_records</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visit_date, provider</w:t>
            </w:r>
          </w:p>
        </w:tc>
        <w:tc>
          <w:tcPr>
            <w:tcW w:w="14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date, text</w:t>
            </w:r>
          </w:p>
        </w:tc>
        <w:tc>
          <w:tcPr>
            <w:tcW w:w="79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Yes</w:t>
            </w:r>
          </w:p>
        </w:tc>
        <w:tc>
          <w:tcPr>
            <w:tcW w:w="244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Match keys for FR-XSRC-01 (M2)</w:t>
            </w:r>
          </w:p>
        </w:tc>
        <w:tc>
          <w:tcPr>
            <w:tcW w:w="72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PHI</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Life of record</w:t>
            </w:r>
          </w:p>
        </w:tc>
      </w:tr>
      <w:tr>
        <w:trPr>
          <w:cantSplit w:val="true"/>
        </w:trPr>
        <w:tc>
          <w:tcPr>
            <w:tcW w:w="151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medicare_records</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retrieved_at</w:t>
            </w:r>
          </w:p>
        </w:tc>
        <w:tc>
          <w:tcPr>
            <w:tcW w:w="14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timestamptz</w:t>
            </w:r>
          </w:p>
        </w:tc>
        <w:tc>
          <w:tcPr>
            <w:tcW w:w="79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Yes</w:t>
            </w:r>
          </w:p>
        </w:tc>
        <w:tc>
          <w:tcPr>
            <w:tcW w:w="244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Displayed per FR-MCR-21</w:t>
            </w:r>
          </w:p>
        </w:tc>
        <w:tc>
          <w:tcPr>
            <w:tcW w:w="72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None</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Life of record</w:t>
            </w:r>
          </w:p>
        </w:tc>
      </w:tr>
      <w:tr>
        <w:trPr>
          <w:cantSplit w:val="true"/>
        </w:trPr>
        <w:tc>
          <w:tcPr>
            <w:tcW w:w="151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medicare_records</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org_id</w:t>
            </w:r>
          </w:p>
        </w:tc>
        <w:tc>
          <w:tcPr>
            <w:tcW w:w="144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UUID</w:t>
            </w:r>
          </w:p>
        </w:tc>
        <w:tc>
          <w:tcPr>
            <w:tcW w:w="79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Yes</w:t>
            </w:r>
          </w:p>
        </w:tc>
        <w:tc>
          <w:tcPr>
            <w:tcW w:w="244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Tenant scoping (FR-MCR-18)</w:t>
            </w:r>
          </w:p>
        </w:tc>
        <w:tc>
          <w:tcPr>
            <w:tcW w:w="72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None</w:t>
            </w:r>
          </w:p>
        </w:tc>
        <w:tc>
          <w:tcPr>
            <w:tcW w:w="12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Life of record</w:t>
            </w:r>
          </w:p>
        </w:tc>
      </w:tr>
    </w:tbl>
    <w:p>
      <w:pPr>
        <w:pStyle w:val="Normal"/>
        <w:spacing w:before="60" w:after="160"/>
        <w:rPr/>
      </w:pPr>
      <w:r>
        <w:rPr>
          <w:i/>
          <w:iCs/>
        </w:rPr>
        <w:t>Note. The class column drives encryption, access control, logging, and retention. It is the bridge between this section and Section 11.6.</w:t>
      </w:r>
    </w:p>
    <w:p>
      <w:pPr>
        <w:pStyle w:val="Heading2"/>
        <w:rPr/>
      </w:pPr>
      <w:bookmarkStart w:id="140" w:name="__RefHeading___Toc10428_627777545"/>
      <w:bookmarkStart w:id="141" w:name="_Toc236656572"/>
      <w:bookmarkEnd w:id="140"/>
      <w:r>
        <w:rPr/>
        <w:t>9.3 Data Validation Rules</w:t>
      </w:r>
      <w:bookmarkEnd w:id="141"/>
    </w:p>
    <w:p>
      <w:pPr>
        <w:pStyle w:val="Normal"/>
        <w:rPr/>
      </w:pPr>
      <w:r>
        <w:rPr/>
        <w:t>Two records are never merged into a single visit unless they agree on provider, service date, and patient identity (FR-XSRC-04); records that match on all three but disagree on another compared field are flagged with a delta rather than merged (FR-XSRC-03). A Medicare access token is rejected and the connection set Unlinked if Medicare reports it expired or invalid (FR-MCR-09, ERR-MCR-05). Every stored and returned Medicare record is scoped to the requesting user's organization identifier (FR-MCR-18) and to the patient who owns it or a caregiver assigned to that patient (FR-MCR-16/17), enforced in the backend, never only in the client.</w:t>
      </w:r>
    </w:p>
    <w:p>
      <w:pPr>
        <w:pStyle w:val="Heading2"/>
        <w:rPr/>
      </w:pPr>
      <w:bookmarkStart w:id="142" w:name="__RefHeading___Toc10430_627777545"/>
      <w:bookmarkStart w:id="143" w:name="_Toc236656573"/>
      <w:bookmarkEnd w:id="142"/>
      <w:r>
        <w:rPr/>
        <w:t>9.4 Data Retention, Archival, and Deletion</w:t>
      </w:r>
      <w:bookmarkEnd w:id="143"/>
    </w:p>
    <w:p>
      <w:pPr>
        <w:pStyle w:val="Normal"/>
        <w:spacing w:before="150" w:after="40"/>
        <w:rPr/>
      </w:pPr>
      <w:r>
        <w:rPr>
          <w:b/>
        </w:rPr>
        <w:t>Table 43</w:t>
      </w:r>
    </w:p>
    <w:p>
      <w:pPr>
        <w:pStyle w:val="Normal"/>
        <w:spacing w:before="0" w:after="80"/>
        <w:rPr/>
      </w:pPr>
      <w:r>
        <w:rPr>
          <w:i/>
          <w:iCs/>
        </w:rPr>
        <w:t>Retention and Deletion Requirements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100"/>
        <w:gridCol w:w="2199"/>
        <w:gridCol w:w="1699"/>
        <w:gridCol w:w="2162"/>
        <w:gridCol w:w="1200"/>
      </w:tblGrid>
      <w:tr>
        <w:trPr>
          <w:tblHeader w:val="true"/>
          <w:cantSplit w:val="true"/>
        </w:trPr>
        <w:tc>
          <w:tcPr>
            <w:tcW w:w="21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Data class</w:t>
            </w:r>
          </w:p>
        </w:tc>
        <w:tc>
          <w:tcPr>
            <w:tcW w:w="21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Retention period</w:t>
            </w:r>
          </w:p>
        </w:tc>
        <w:tc>
          <w:tcPr>
            <w:tcW w:w="16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Archival</w:t>
            </w:r>
          </w:p>
        </w:tc>
        <w:tc>
          <w:tcPr>
            <w:tcW w:w="216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Deletion trigger</w:t>
            </w:r>
          </w:p>
        </w:tc>
        <w:tc>
          <w:tcPr>
            <w:tcW w:w="12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Requirement</w:t>
            </w:r>
          </w:p>
        </w:tc>
      </w:tr>
      <w:tr>
        <w:trPr>
          <w:cantSplit w:val="true"/>
        </w:trPr>
        <w:tc>
          <w:tcPr>
            <w:tcW w:w="2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Medicare PHI (medicare_connection, medicare_records)</w:t>
            </w:r>
          </w:p>
        </w:tc>
        <w:tc>
          <w:tcPr>
            <w:tcW w:w="2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Until the patient unlinks their Medicare account</w:t>
            </w:r>
          </w:p>
        </w:tc>
        <w:tc>
          <w:tcPr>
            <w:tcW w:w="16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applicable — deleted, not archived</w:t>
            </w:r>
          </w:p>
        </w:tc>
        <w:tc>
          <w:tcPr>
            <w:tcW w:w="21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Patient-initiated unlink (FR-MCR-10)</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FR-MCR-11</w:t>
            </w:r>
          </w:p>
        </w:tc>
      </w:tr>
      <w:tr>
        <w:trPr>
          <w:cantSplit w:val="true"/>
        </w:trPr>
        <w:tc>
          <w:tcPr>
            <w:tcW w:w="21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Medicare access tokens</w:t>
            </w:r>
          </w:p>
        </w:tc>
        <w:tc>
          <w:tcPr>
            <w:tcW w:w="2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Until unlink or until Medicare rejects the token</w:t>
            </w:r>
          </w:p>
        </w:tc>
        <w:tc>
          <w:tcPr>
            <w:tcW w:w="16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applicable — deleted, not archived</w:t>
            </w:r>
          </w:p>
        </w:tc>
        <w:tc>
          <w:tcPr>
            <w:tcW w:w="21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Unlink, or token rejected as expired/invalid</w:t>
            </w:r>
          </w:p>
        </w:tc>
        <w:tc>
          <w:tcPr>
            <w:tcW w:w="1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FR-MCR-11, FR-MCR-09</w:t>
            </w:r>
          </w:p>
        </w:tc>
      </w:tr>
      <w:tr>
        <w:trPr>
          <w:cantSplit w:val="true"/>
        </w:trPr>
        <w:tc>
          <w:tcPr>
            <w:tcW w:w="2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Audit logs (linking/unlinking events)</w:t>
            </w:r>
          </w:p>
        </w:tc>
        <w:tc>
          <w:tcPr>
            <w:tcW w:w="2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defined by the team</w:t>
            </w:r>
          </w:p>
        </w:tc>
        <w:tc>
          <w:tcPr>
            <w:tcW w:w="16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TBD</w:t>
            </w:r>
          </w:p>
        </w:tc>
        <w:tc>
          <w:tcPr>
            <w:tcW w:w="21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TBD</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TBD — no audit-log requirement written yet</w:t>
            </w:r>
          </w:p>
        </w:tc>
      </w:tr>
      <w:tr>
        <w:trPr>
          <w:cantSplit w:val="true"/>
        </w:trPr>
        <w:tc>
          <w:tcPr>
            <w:tcW w:w="21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Synthetic test data</w:t>
            </w:r>
          </w:p>
        </w:tc>
        <w:tc>
          <w:tcPr>
            <w:tcW w:w="2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applicable — regenerated per test run, never real Medicare data (Section 9.5)</w:t>
            </w:r>
          </w:p>
        </w:tc>
        <w:tc>
          <w:tcPr>
            <w:tcW w:w="16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applicable</w:t>
            </w:r>
          </w:p>
        </w:tc>
        <w:tc>
          <w:tcPr>
            <w:tcW w:w="21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applicable</w:t>
            </w:r>
          </w:p>
        </w:tc>
        <w:tc>
          <w:tcPr>
            <w:tcW w:w="1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applicable</w:t>
            </w:r>
          </w:p>
        </w:tc>
      </w:tr>
    </w:tbl>
    <w:p>
      <w:pPr>
        <w:pStyle w:val="Normal"/>
        <w:spacing w:before="60" w:after="160"/>
        <w:rPr/>
      </w:pPr>
      <w:r>
        <w:rPr>
          <w:i/>
          <w:iCs/>
        </w:rPr>
        <w:t>Note. State the basis for each period. Retention that is asserted but not justified is not defensible.</w:t>
      </w:r>
    </w:p>
    <w:p>
      <w:pPr>
        <w:pStyle w:val="Heading2"/>
        <w:rPr/>
      </w:pPr>
      <w:bookmarkStart w:id="144" w:name="__RefHeading___Toc10432_627777545"/>
      <w:bookmarkStart w:id="145" w:name="_Toc236656574"/>
      <w:bookmarkEnd w:id="144"/>
      <w:r>
        <w:rPr/>
        <w:t>9.5 Test Data</w:t>
      </w:r>
      <w:bookmarkEnd w:id="145"/>
    </w:p>
    <w:p>
      <w:pPr>
        <w:pStyle w:val="Normal"/>
        <w:rPr/>
      </w:pPr>
      <w:r>
        <w:rPr/>
        <w:t>Test data comes from the CMS Blue Button 2.0 sandbox, which returns synthetic beneficiary and claims data rather than real Medicare records; sandbox access itself is not yet confirmed for this team (OQ-03). No environment used by Team Echo this term holds real patient or real Medicare data at any point (Table 54, Section 12.2).</w:t>
      </w:r>
    </w:p>
    <w:p>
      <w:pPr>
        <w:pStyle w:val="Heading2"/>
        <w:rPr/>
      </w:pPr>
      <w:bookmarkStart w:id="146" w:name="__RefHeading___Toc10434_627777545"/>
      <w:bookmarkStart w:id="147" w:name="_Toc236656575"/>
      <w:bookmarkEnd w:id="146"/>
      <w:r>
        <w:rPr/>
        <w:t>9.6 Reporting and Analytics Data</w:t>
      </w:r>
      <w:bookmarkEnd w:id="147"/>
    </w:p>
    <w:p>
      <w:pPr>
        <w:pStyle w:val="Normal"/>
        <w:rPr/>
      </w:pPr>
      <w:r>
        <w:rPr/>
        <w:t>Not applicable to this increment. No reporting or analytics dashboard over Medicare data is specified for Milestone 1 or Milestone 2; a clinician-facing dashboard is mentioned in the User Needs Analysis personas but is out of scope for this SRS version (Section 1.3).</w:t>
      </w:r>
    </w:p>
    <w:p>
      <w:pPr>
        <w:pStyle w:val="Normal"/>
        <w:rPr/>
      </w:pPr>
      <w:r>
        <w:rPr/>
      </w:r>
      <w:r>
        <w:br w:type="page"/>
      </w:r>
    </w:p>
    <w:p>
      <w:pPr>
        <w:pStyle w:val="Heading1"/>
        <w:spacing w:before="0" w:after="150"/>
        <w:rPr/>
      </w:pPr>
      <w:bookmarkStart w:id="148" w:name="__RefHeading___Toc10436_627777545"/>
      <w:bookmarkStart w:id="149" w:name="_Toc236656576"/>
      <w:bookmarkEnd w:id="148"/>
      <w:r>
        <w:rPr/>
        <w:t>10. Business Rules</w:t>
      </w:r>
      <w:bookmarkEnd w:id="149"/>
    </w:p>
    <w:p>
      <w:pPr>
        <w:pStyle w:val="Normal"/>
        <w:rPr/>
      </w:pPr>
      <w:r>
        <w:rPr/>
        <w:t>Business rules are policy statements that constrain behavior across features. They are recorded separately from functional requirements so that a policy change is made in one place.</w:t>
      </w:r>
    </w:p>
    <w:p>
      <w:pPr>
        <w:pStyle w:val="Normal"/>
        <w:spacing w:before="150" w:after="40"/>
        <w:rPr/>
      </w:pPr>
      <w:r>
        <w:rPr>
          <w:b/>
        </w:rPr>
        <w:t>Table 44</w:t>
      </w:r>
    </w:p>
    <w:p>
      <w:pPr>
        <w:pStyle w:val="Normal"/>
        <w:spacing w:before="0" w:after="80"/>
        <w:rPr/>
      </w:pPr>
      <w:r>
        <w:rPr>
          <w:i/>
          <w:iCs/>
        </w:rPr>
        <w:t>Business Rule Register</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696"/>
        <w:gridCol w:w="3524"/>
        <w:gridCol w:w="1199"/>
        <w:gridCol w:w="996"/>
        <w:gridCol w:w="1692"/>
        <w:gridCol w:w="1252"/>
      </w:tblGrid>
      <w:tr>
        <w:trPr>
          <w:tblHeader w:val="true"/>
          <w:cantSplit w:val="true"/>
        </w:trPr>
        <w:tc>
          <w:tcPr>
            <w:tcW w:w="69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ID</w:t>
            </w:r>
          </w:p>
        </w:tc>
        <w:tc>
          <w:tcPr>
            <w:tcW w:w="3524"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Rule statement</w:t>
            </w:r>
          </w:p>
        </w:tc>
        <w:tc>
          <w:tcPr>
            <w:tcW w:w="11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Type</w:t>
            </w:r>
          </w:p>
        </w:tc>
        <w:tc>
          <w:tcPr>
            <w:tcW w:w="99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Source</w:t>
            </w:r>
          </w:p>
        </w:tc>
        <w:tc>
          <w:tcPr>
            <w:tcW w:w="169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Enforcement point</w:t>
            </w:r>
          </w:p>
        </w:tc>
        <w:tc>
          <w:tcPr>
            <w:tcW w:w="125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Requirements affected</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BR-01</w:t>
            </w:r>
          </w:p>
        </w:tc>
        <w:tc>
          <w:tcPr>
            <w:tcW w:w="35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Two Medicare/peer-source records shall not be merged into one visit unless they agree on provider, service date, and patient identity.</w:t>
            </w:r>
          </w:p>
        </w:tc>
        <w:tc>
          <w:tcPr>
            <w:tcW w:w="11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Constraint</w:t>
            </w:r>
          </w:p>
        </w:tc>
        <w:tc>
          <w:tcPr>
            <w:tcW w:w="99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TEAM-01</w:t>
            </w:r>
          </w:p>
        </w:tc>
        <w:tc>
          <w:tcPr>
            <w:tcW w:w="169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MedicareDataService (backend)</w:t>
            </w:r>
          </w:p>
        </w:tc>
        <w:tc>
          <w:tcPr>
            <w:tcW w:w="12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FR-XSRC-04</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BR-02</w:t>
            </w:r>
          </w:p>
        </w:tc>
        <w:tc>
          <w:tcPr>
            <w:tcW w:w="35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A caregiver may view a patient's Medicare data only while an active CaregiverPatientLink or FamilyMemberLink and an active MEDICARE_VIEW consent grant both exist for that pair.</w:t>
            </w:r>
          </w:p>
        </w:tc>
        <w:tc>
          <w:tcPr>
            <w:tcW w:w="11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Constraint</w:t>
            </w:r>
          </w:p>
        </w:tc>
        <w:tc>
          <w:tcPr>
            <w:tcW w:w="99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CRS-01</w:t>
            </w:r>
          </w:p>
        </w:tc>
        <w:tc>
          <w:tcPr>
            <w:tcW w:w="169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Backend authorization (existing ConsentGrant/link services)</w:t>
            </w:r>
          </w:p>
        </w:tc>
        <w:tc>
          <w:tcPr>
            <w:tcW w:w="12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FR-MCR-16, FR-MCR-17</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BR-03</w:t>
            </w:r>
          </w:p>
        </w:tc>
        <w:tc>
          <w:tcPr>
            <w:tcW w:w="35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CareConnect internal staff access to Medicare data is governed by whichever role definition the client/product owner confirms (admin, or sysadmin/data steward) — see OQ-08.</w:t>
            </w:r>
          </w:p>
        </w:tc>
        <w:tc>
          <w:tcPr>
            <w:tcW w:w="11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Constraint</w:t>
            </w:r>
          </w:p>
        </w:tc>
        <w:tc>
          <w:tcPr>
            <w:tcW w:w="99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TEAM-01</w:t>
            </w:r>
          </w:p>
        </w:tc>
        <w:tc>
          <w:tcPr>
            <w:tcW w:w="169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Not yet implemented — role definition unresolved</w:t>
            </w:r>
          </w:p>
        </w:tc>
        <w:tc>
          <w:tcPr>
            <w:tcW w:w="12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None yet — see OQ-08</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BR-04</w:t>
            </w:r>
          </w:p>
        </w:tc>
        <w:tc>
          <w:tcPr>
            <w:tcW w:w="35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A Medicare access token shall never be included in a response body, a client-visible field, or a log entry.</w:t>
            </w:r>
          </w:p>
        </w:tc>
        <w:tc>
          <w:tcPr>
            <w:tcW w:w="11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Constraint</w:t>
            </w:r>
          </w:p>
        </w:tc>
        <w:tc>
          <w:tcPr>
            <w:tcW w:w="99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CRS-01</w:t>
            </w:r>
          </w:p>
        </w:tc>
        <w:tc>
          <w:tcPr>
            <w:tcW w:w="169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TokenCustodyService (backend)</w:t>
            </w:r>
          </w:p>
        </w:tc>
        <w:tc>
          <w:tcPr>
            <w:tcW w:w="12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NFR-SEC-03</w:t>
            </w:r>
          </w:p>
        </w:tc>
      </w:tr>
      <w:tr>
        <w:trPr>
          <w:cantSplit w:val="true"/>
        </w:trPr>
        <w:tc>
          <w:tcPr>
            <w:tcW w:w="69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BR-05</w:t>
            </w:r>
          </w:p>
        </w:tc>
        <w:tc>
          <w:tcPr>
            <w:tcW w:w="352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Two records match the same visit when they agree on provider, service date, and patient identity (the FR-XSRC-01 match keys); this is the sole basis for reconciliation in FEAT-03.</w:t>
            </w:r>
          </w:p>
        </w:tc>
        <w:tc>
          <w:tcPr>
            <w:tcW w:w="11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Computation</w:t>
            </w:r>
          </w:p>
        </w:tc>
        <w:tc>
          <w:tcPr>
            <w:tcW w:w="99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SRC-01</w:t>
            </w:r>
          </w:p>
        </w:tc>
        <w:tc>
          <w:tcPr>
            <w:tcW w:w="169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MedicareDataService comparison logic (M2)</w:t>
            </w:r>
          </w:p>
        </w:tc>
        <w:tc>
          <w:tcPr>
            <w:tcW w:w="125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FR-XSRC-01</w:t>
            </w:r>
          </w:p>
        </w:tc>
      </w:tr>
    </w:tbl>
    <w:p>
      <w:pPr>
        <w:pStyle w:val="Normal"/>
        <w:spacing w:before="60" w:after="160"/>
        <w:rPr/>
      </w:pPr>
      <w:r>
        <w:rPr>
          <w:i/>
          <w:iCs/>
        </w:rPr>
        <w:t>Note. Rules must be enforced in backend logic, not only in the interface. Name the enforcement point so it can be tested.</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cantSplit w:val="true"/>
        </w:trPr>
        <w:tc>
          <w:tcPr>
            <w:tcW w:w="9360" w:type="dxa"/>
            <w:tcBorders>
              <w:top w:val="single" w:sz="4" w:space="0" w:color="000000"/>
              <w:left w:val="single" w:sz="4" w:space="0" w:color="000000"/>
              <w:bottom w:val="single" w:sz="4" w:space="0" w:color="000000"/>
              <w:right w:val="single" w:sz="4" w:space="0" w:color="000000"/>
            </w:tcBorders>
            <w:shd w:color="auto" w:fill="FDF3E0" w:val="clear"/>
          </w:tcPr>
          <w:p>
            <w:pPr>
              <w:pStyle w:val="Normal"/>
              <w:widowControl/>
              <w:bidi w:val="0"/>
              <w:spacing w:lineRule="auto" w:line="276" w:before="0" w:after="130"/>
              <w:jc w:val="left"/>
              <w:rPr/>
            </w:pPr>
            <w:r>
              <w:rPr>
                <w:b w:val="false"/>
                <w:i w:val="false"/>
                <w:sz w:val="19"/>
              </w:rPr>
              <w:t>Flag — not yet resolved. BR-02 as written grants Medicare-data access through either a CaregiverPatientLink or a FamilyMemberLink. TDD Section 8 (Camilla, 2026-08-25) states the opposite for Family Member and Administrator roles: “Family Member and Admin access is an open product decision … and is not designed as granted; the UI must not expose Medicare data to those roles until it is resolved.” FR-MCR-16 and FR-MCR-17 as specified already restrict enforcement to “the patient or an assigned caregiver” only, which matches Camilla's position, not BR-02's. This is a real conflict between a Business Rule and both the UI design and the enforced functional requirements, not a wording difference — tracked as OQ-11 (Section 3.5) and not resolved here.</w:t>
            </w:r>
          </w:p>
        </w:tc>
      </w:tr>
    </w:tbl>
    <w:p>
      <w:pPr>
        <w:pStyle w:val="Heading1"/>
        <w:rPr/>
      </w:pPr>
      <w:bookmarkStart w:id="150" w:name="__RefHeading___Toc10438_627777545"/>
      <w:bookmarkStart w:id="151" w:name="_Toc236656577"/>
      <w:bookmarkEnd w:id="150"/>
      <w:r>
        <w:rPr/>
        <w:t>11. Non-Functional Requirements</w:t>
      </w:r>
      <w:bookmarkEnd w:id="151"/>
    </w:p>
    <w:p>
      <w:pPr>
        <w:pStyle w:val="Normal"/>
        <w:rPr/>
      </w:pPr>
      <w:r>
        <w:rPr/>
        <w:t>Every non-functional requirement in this section states a number, the condition under which the number applies, and how it will be measured. A target without a measurement method cannot be verified and will not be accepted.</w:t>
      </w:r>
    </w:p>
    <w:p>
      <w:pPr>
        <w:pStyle w:val="Heading2"/>
        <w:rPr/>
      </w:pPr>
      <w:bookmarkStart w:id="152" w:name="__RefHeading___Toc10440_627777545"/>
      <w:bookmarkStart w:id="153" w:name="_Toc236656578"/>
      <w:bookmarkEnd w:id="152"/>
      <w:r>
        <w:rPr/>
        <w:t>11.1 Performance</w:t>
      </w:r>
      <w:bookmarkEnd w:id="153"/>
    </w:p>
    <w:p>
      <w:pPr>
        <w:pStyle w:val="Normal"/>
        <w:spacing w:before="150" w:after="40"/>
        <w:rPr/>
      </w:pPr>
      <w:r>
        <w:rPr>
          <w:b/>
        </w:rPr>
        <w:t>Table 45</w:t>
      </w:r>
    </w:p>
    <w:p>
      <w:pPr>
        <w:pStyle w:val="Normal"/>
        <w:spacing w:before="0" w:after="80"/>
        <w:rPr/>
      </w:pPr>
      <w:r>
        <w:rPr>
          <w:i/>
          <w:iCs/>
        </w:rPr>
        <w:t>Performance Requirements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998"/>
        <w:gridCol w:w="1602"/>
        <w:gridCol w:w="1800"/>
        <w:gridCol w:w="2099"/>
        <w:gridCol w:w="2060"/>
        <w:gridCol w:w="800"/>
      </w:tblGrid>
      <w:tr>
        <w:trPr>
          <w:tblHeader w:val="true"/>
          <w:cantSplit w:val="true"/>
        </w:trPr>
        <w:tc>
          <w:tcPr>
            <w:tcW w:w="9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ID</w:t>
            </w:r>
          </w:p>
        </w:tc>
        <w:tc>
          <w:tcPr>
            <w:tcW w:w="160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Attribute</w:t>
            </w:r>
          </w:p>
        </w:tc>
        <w:tc>
          <w:tcPr>
            <w:tcW w:w="18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Target</w:t>
            </w:r>
          </w:p>
        </w:tc>
        <w:tc>
          <w:tcPr>
            <w:tcW w:w="20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Condition</w:t>
            </w:r>
          </w:p>
        </w:tc>
        <w:tc>
          <w:tcPr>
            <w:tcW w:w="20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Measurement method</w:t>
            </w:r>
          </w:p>
        </w:tc>
        <w:tc>
          <w:tcPr>
            <w:tcW w:w="8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Priority</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NFR-PERF-01</w:t>
            </w:r>
          </w:p>
        </w:tc>
        <w:tc>
          <w:tcPr>
            <w:tcW w:w="16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Medicare records screen render (stored records)</w:t>
            </w:r>
          </w:p>
        </w:tc>
        <w:tc>
          <w:tcPr>
            <w:tcW w:w="18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Under 2 seconds [PROPOSED]</w:t>
            </w:r>
          </w:p>
        </w:tc>
        <w:tc>
          <w:tcPr>
            <w:tcW w:w="20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95th percentile, reference device [TBD-12], 50 visit records</w:t>
            </w:r>
          </w:p>
        </w:tc>
        <w:tc>
          <w:tcPr>
            <w:tcW w:w="20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Instrumented timing, once implementation exists</w:t>
            </w:r>
          </w:p>
        </w:tc>
        <w:tc>
          <w:tcPr>
            <w:tcW w:w="8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Should</w:t>
            </w:r>
          </w:p>
        </w:tc>
      </w:tr>
    </w:tbl>
    <w:p>
      <w:pPr>
        <w:pStyle w:val="Normal"/>
        <w:spacing w:before="60" w:after="160"/>
        <w:rPr/>
      </w:pPr>
      <w:r>
        <w:rPr>
          <w:i/>
          <w:iCs/>
        </w:rPr>
        <w:t>Note. Phrases such as minimal latency, acceptable quality, and without significant degradation are not requirements. Replace every one with a number and a condition.</w:t>
      </w:r>
      <w:r>
        <w:rPr>
          <w:i/>
        </w:rPr>
        <w:t xml:space="preserve"> No other performance targets have been set by the client as of this draft; targets beyond NFR-PERF-01 will be added once the client confirms them or the team proposes and gets sign-off on defaults, consistent with the “never invent” rule.</w:t>
      </w:r>
    </w:p>
    <w:p>
      <w:pPr>
        <w:pStyle w:val="Heading2"/>
        <w:rPr/>
      </w:pPr>
      <w:bookmarkStart w:id="154" w:name="__RefHeading___Toc10442_627777545"/>
      <w:bookmarkStart w:id="155" w:name="_Toc236656579"/>
      <w:bookmarkEnd w:id="154"/>
      <w:r>
        <w:rPr/>
        <w:t>11.2 Capacity and Volumetrics</w:t>
      </w:r>
      <w:bookmarkEnd w:id="155"/>
    </w:p>
    <w:p>
      <w:pPr>
        <w:pStyle w:val="Normal"/>
        <w:spacing w:before="150" w:after="40"/>
        <w:rPr/>
      </w:pPr>
      <w:r>
        <w:rPr>
          <w:b/>
        </w:rPr>
        <w:t>Table 46</w:t>
      </w:r>
    </w:p>
    <w:p>
      <w:pPr>
        <w:pStyle w:val="Normal"/>
        <w:spacing w:before="0" w:after="80"/>
        <w:rPr/>
      </w:pPr>
      <w:r>
        <w:rPr>
          <w:i/>
          <w:iCs/>
        </w:rPr>
        <w:t>Capacity Requirements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998"/>
        <w:gridCol w:w="2202"/>
        <w:gridCol w:w="2000"/>
        <w:gridCol w:w="1800"/>
        <w:gridCol w:w="2360"/>
      </w:tblGrid>
      <w:tr>
        <w:trPr>
          <w:tblHeader w:val="true"/>
          <w:cantSplit w:val="true"/>
        </w:trPr>
        <w:tc>
          <w:tcPr>
            <w:tcW w:w="9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ID</w:t>
            </w:r>
          </w:p>
        </w:tc>
        <w:tc>
          <w:tcPr>
            <w:tcW w:w="220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Dimension</w:t>
            </w:r>
          </w:p>
        </w:tc>
        <w:tc>
          <w:tcPr>
            <w:tcW w:w="2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Expected at launch</w:t>
            </w:r>
          </w:p>
        </w:tc>
        <w:tc>
          <w:tcPr>
            <w:tcW w:w="18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Design headroom</w:t>
            </w:r>
          </w:p>
        </w:tc>
        <w:tc>
          <w:tcPr>
            <w:tcW w:w="23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Requirement</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w:t>
            </w:r>
          </w:p>
        </w:tc>
        <w:tc>
          <w:tcPr>
            <w:tcW w:w="22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Registered users</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defined by the client</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defined by the client</w:t>
            </w:r>
          </w:p>
        </w:tc>
        <w:tc>
          <w:tcPr>
            <w:tcW w:w="23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defined by the client</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REQ-nnnn</w:t>
            </w:r>
          </w:p>
        </w:tc>
        <w:tc>
          <w:tcPr>
            <w:tcW w:w="22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Concurrent sessions</w:t>
            </w:r>
          </w:p>
        </w:tc>
        <w:tc>
          <w:tcPr>
            <w:tcW w:w="2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defined by the client</w:t>
            </w:r>
          </w:p>
        </w:tc>
        <w:tc>
          <w:tcPr>
            <w:tcW w:w="18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defined by the client</w:t>
            </w:r>
          </w:p>
        </w:tc>
        <w:tc>
          <w:tcPr>
            <w:tcW w:w="23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defined by the client</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w:t>
            </w:r>
          </w:p>
        </w:tc>
        <w:tc>
          <w:tcPr>
            <w:tcW w:w="22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Messages or records per day</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defined by the client</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defined by the client</w:t>
            </w:r>
          </w:p>
        </w:tc>
        <w:tc>
          <w:tcPr>
            <w:tcW w:w="23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defined by the client</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REQ-nnnn</w:t>
            </w:r>
          </w:p>
        </w:tc>
        <w:tc>
          <w:tcPr>
            <w:tcW w:w="22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Media storage growth</w:t>
            </w:r>
          </w:p>
        </w:tc>
        <w:tc>
          <w:tcPr>
            <w:tcW w:w="2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defined by the client</w:t>
            </w:r>
          </w:p>
        </w:tc>
        <w:tc>
          <w:tcPr>
            <w:tcW w:w="18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defined by the client</w:t>
            </w:r>
          </w:p>
        </w:tc>
        <w:tc>
          <w:tcPr>
            <w:tcW w:w="23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defined by the client</w:t>
            </w:r>
          </w:p>
        </w:tc>
      </w:tr>
    </w:tbl>
    <w:p>
      <w:pPr>
        <w:pStyle w:val="Normal"/>
        <w:spacing w:before="60" w:after="160"/>
        <w:rPr/>
      </w:pPr>
      <w:r>
        <w:rPr>
          <w:i/>
          <w:iCs/>
        </w:rPr>
        <w:t>Note. Capacity numbers come from the client or from a stated assumption. Say which.</w:t>
      </w:r>
      <w:r>
        <w:rPr>
          <w:i/>
        </w:rPr>
        <w:t xml:space="preserve"> None have been provided or assumed for the Medicare feature as of this draft.</w:t>
      </w:r>
    </w:p>
    <w:p>
      <w:pPr>
        <w:pStyle w:val="Heading2"/>
        <w:rPr/>
      </w:pPr>
      <w:bookmarkStart w:id="156" w:name="__RefHeading___Toc10444_627777545"/>
      <w:bookmarkStart w:id="157" w:name="_Toc236656580"/>
      <w:bookmarkEnd w:id="156"/>
      <w:r>
        <w:rPr/>
        <w:t>11.3 Scalability</w:t>
      </w:r>
      <w:bookmarkEnd w:id="157"/>
    </w:p>
    <w:p>
      <w:pPr>
        <w:pStyle w:val="Normal"/>
        <w:rPr/>
      </w:pPr>
      <w:r>
        <w:rPr/>
        <w:t>The only scaling requirement currently specified is multi-tenant data isolation: every stored and returned Medicare record is scoped to the requesting user's organization identifier (FR-MCR-18), so adding an organization does not require a redesign. No user-volume or session-volume scaling threshold has been set by the client (Section 11.2).</w:t>
      </w:r>
    </w:p>
    <w:p>
      <w:pPr>
        <w:pStyle w:val="Heading2"/>
        <w:rPr/>
      </w:pPr>
      <w:bookmarkStart w:id="158" w:name="__RefHeading___Toc10446_627777545"/>
      <w:bookmarkStart w:id="159" w:name="_Toc236656581"/>
      <w:bookmarkEnd w:id="158"/>
      <w:r>
        <w:rPr/>
        <w:t>11.4 Availability, Reliability, and Recovery</w:t>
      </w:r>
      <w:bookmarkEnd w:id="159"/>
    </w:p>
    <w:p>
      <w:pPr>
        <w:pStyle w:val="Normal"/>
        <w:spacing w:before="150" w:after="40"/>
        <w:rPr/>
      </w:pPr>
      <w:r>
        <w:rPr>
          <w:b/>
        </w:rPr>
        <w:t>Table 47</w:t>
      </w:r>
    </w:p>
    <w:p>
      <w:pPr>
        <w:pStyle w:val="Normal"/>
        <w:spacing w:before="0" w:after="80"/>
        <w:rPr/>
      </w:pPr>
      <w:r>
        <w:rPr>
          <w:i/>
          <w:iCs/>
        </w:rPr>
        <w:t>Availability and Recovery Requirements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998"/>
        <w:gridCol w:w="2000"/>
        <w:gridCol w:w="3000"/>
        <w:gridCol w:w="2362"/>
        <w:gridCol w:w="1000"/>
      </w:tblGrid>
      <w:tr>
        <w:trPr>
          <w:tblHeader w:val="true"/>
          <w:cantSplit w:val="true"/>
        </w:trPr>
        <w:tc>
          <w:tcPr>
            <w:tcW w:w="9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ID</w:t>
            </w:r>
          </w:p>
        </w:tc>
        <w:tc>
          <w:tcPr>
            <w:tcW w:w="2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Attribute</w:t>
            </w:r>
          </w:p>
        </w:tc>
        <w:tc>
          <w:tcPr>
            <w:tcW w:w="3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Target</w:t>
            </w:r>
          </w:p>
        </w:tc>
        <w:tc>
          <w:tcPr>
            <w:tcW w:w="236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Measurement or drill</w:t>
            </w:r>
          </w:p>
        </w:tc>
        <w:tc>
          <w:tcPr>
            <w:tcW w:w="1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Priority</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Service availability</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set by the client</w:t>
            </w:r>
          </w:p>
        </w:tc>
        <w:tc>
          <w:tcPr>
            <w:tcW w:w="23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TBD</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Must</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REQ-nnnn</w:t>
            </w:r>
          </w:p>
        </w:tc>
        <w:tc>
          <w:tcPr>
            <w:tcW w:w="2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Recovery time objective</w:t>
            </w:r>
          </w:p>
        </w:tc>
        <w:tc>
          <w:tcPr>
            <w:tcW w:w="3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set by the client</w:t>
            </w:r>
          </w:p>
        </w:tc>
        <w:tc>
          <w:tcPr>
            <w:tcW w:w="23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TBD</w:t>
            </w:r>
          </w:p>
        </w:tc>
        <w:tc>
          <w:tcPr>
            <w:tcW w:w="1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Must</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Recovery point objective</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set by the client</w:t>
            </w:r>
          </w:p>
        </w:tc>
        <w:tc>
          <w:tcPr>
            <w:tcW w:w="23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TBD</w:t>
            </w:r>
          </w:p>
        </w:tc>
        <w:tc>
          <w:tcPr>
            <w:tcW w:w="1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Must</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REQ-nnnn</w:t>
            </w:r>
          </w:p>
        </w:tc>
        <w:tc>
          <w:tcPr>
            <w:tcW w:w="2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Graceful degradation</w:t>
            </w:r>
          </w:p>
        </w:tc>
        <w:tc>
          <w:tcPr>
            <w:tcW w:w="3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5"/>
              </w:rPr>
              <w:t>Specified per dependency: see Section 11.12 (Table 52) and FR-MCR-23/24/26/29</w:t>
            </w:r>
          </w:p>
        </w:tc>
        <w:tc>
          <w:tcPr>
            <w:tcW w:w="23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Fault injection, once implementation exists</w:t>
            </w:r>
          </w:p>
        </w:tc>
        <w:tc>
          <w:tcPr>
            <w:tcW w:w="1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Must</w:t>
            </w:r>
          </w:p>
        </w:tc>
      </w:tr>
    </w:tbl>
    <w:p>
      <w:pPr>
        <w:pStyle w:val="Normal"/>
        <w:spacing w:before="60" w:after="160"/>
        <w:rPr/>
      </w:pPr>
      <w:r>
        <w:rPr>
          <w:i/>
          <w:iCs/>
        </w:rPr>
        <w:t>Note. Recovery targets that were never rehearsed are assumptions. Run one restore drill and record the result.</w:t>
      </w:r>
    </w:p>
    <w:p>
      <w:pPr>
        <w:pStyle w:val="Heading2"/>
        <w:rPr/>
      </w:pPr>
      <w:bookmarkStart w:id="160" w:name="__RefHeading___Toc10448_627777545"/>
      <w:bookmarkStart w:id="161" w:name="_Toc236656582"/>
      <w:bookmarkEnd w:id="160"/>
      <w:r>
        <w:rPr/>
        <w:t>11.5 Security</w:t>
      </w:r>
      <w:bookmarkEnd w:id="161"/>
    </w:p>
    <w:p>
      <w:pPr>
        <w:pStyle w:val="Normal"/>
        <w:spacing w:before="150" w:after="40"/>
        <w:rPr/>
      </w:pPr>
      <w:r>
        <w:rPr>
          <w:b/>
        </w:rPr>
        <w:t>Table 48</w:t>
      </w:r>
    </w:p>
    <w:p>
      <w:pPr>
        <w:pStyle w:val="Normal"/>
        <w:spacing w:before="0" w:after="80"/>
        <w:rPr/>
      </w:pPr>
      <w:r>
        <w:rPr>
          <w:i/>
          <w:iCs/>
        </w:rPr>
        <w:t>Security Requirements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998"/>
        <w:gridCol w:w="1901"/>
        <w:gridCol w:w="4300"/>
        <w:gridCol w:w="2160"/>
      </w:tblGrid>
      <w:tr>
        <w:trPr>
          <w:tblHeader w:val="true"/>
          <w:cantSplit w:val="true"/>
        </w:trPr>
        <w:tc>
          <w:tcPr>
            <w:tcW w:w="9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ID</w:t>
            </w:r>
          </w:p>
        </w:tc>
        <w:tc>
          <w:tcPr>
            <w:tcW w:w="19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Control area</w:t>
            </w:r>
          </w:p>
        </w:tc>
        <w:tc>
          <w:tcPr>
            <w:tcW w:w="43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Requirement</w:t>
            </w:r>
          </w:p>
        </w:tc>
        <w:tc>
          <w:tcPr>
            <w:tcW w:w="21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Verification</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Encryption in transit</w:t>
            </w:r>
          </w:p>
        </w:tc>
        <w:tc>
          <w:tcPr>
            <w:tcW w:w="4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All Medicare traffic over HTTPS/TLS (Section 8.4); no plaintext fallback specified.</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Inspection, once implementation exists</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REQ-nnnn</w:t>
            </w:r>
          </w:p>
        </w:tc>
        <w:tc>
          <w:tcPr>
            <w:tcW w:w="19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Encryption at rest</w:t>
            </w:r>
          </w:p>
        </w:tc>
        <w:tc>
          <w:tcPr>
            <w:tcW w:w="4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Medicare access tokens stored encrypted at rest (NFR-SEC-02).</w:t>
            </w:r>
          </w:p>
        </w:tc>
        <w:tc>
          <w:tcPr>
            <w:tcW w:w="21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Inspection, once implementation exists</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Authentication</w:t>
            </w:r>
          </w:p>
        </w:tc>
        <w:tc>
          <w:tcPr>
            <w:tcW w:w="4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Patient authenticates on Medicare's own hosted page; CareConnect never collects, transmits, or stores the Medicare password (NFR-SEC-01).</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Inspection, once implementation exists</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REQ-nnnn</w:t>
            </w:r>
          </w:p>
        </w:tc>
        <w:tc>
          <w:tcPr>
            <w:tcW w:w="19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Session management</w:t>
            </w:r>
          </w:p>
        </w:tc>
        <w:tc>
          <w:tcPr>
            <w:tcW w:w="4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defined beyond token handling in NFR-SEC-02/03; existing CareConnect session rules apply to the CareConnect side (Section 8.3, IF-02).</w:t>
            </w:r>
          </w:p>
        </w:tc>
        <w:tc>
          <w:tcPr>
            <w:tcW w:w="21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TBD</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Authorization</w:t>
            </w:r>
          </w:p>
        </w:tc>
        <w:tc>
          <w:tcPr>
            <w:tcW w:w="4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Backend enforces that Medicare data returns only to the owning patient or an assigned caregiver (FR-MCR-16/17), scoped by organization (FR-MCR-18); never enforced only in the frontend.</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Inspection, once implementation exists</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REQ-nnnn</w:t>
            </w:r>
          </w:p>
        </w:tc>
        <w:tc>
          <w:tcPr>
            <w:tcW w:w="19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Least privilege</w:t>
            </w:r>
          </w:p>
        </w:tc>
        <w:tc>
          <w:tcPr>
            <w:tcW w:w="4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defined for the Medicare feature's service accounts as of this draft.</w:t>
            </w:r>
          </w:p>
        </w:tc>
        <w:tc>
          <w:tcPr>
            <w:tcW w:w="21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TBD</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Audit logging</w:t>
            </w:r>
          </w:p>
        </w:tc>
        <w:tc>
          <w:tcPr>
            <w:tcW w:w="4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defined (Section 9.4); a Medicare access token is never written to any log (NFR-SEC-03), which is the one logging rule currently specified.</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TBD</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REQ-nnnn</w:t>
            </w:r>
          </w:p>
        </w:tc>
        <w:tc>
          <w:tcPr>
            <w:tcW w:w="19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Secrets management</w:t>
            </w:r>
          </w:p>
        </w:tc>
        <w:tc>
          <w:tcPr>
            <w:tcW w:w="4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Medicare API credentials/tokens are not stored in the repository; storage mechanism beyond NFR-SEC-02's "encrypted at rest" is not yet detailed.</w:t>
            </w:r>
          </w:p>
        </w:tc>
        <w:tc>
          <w:tcPr>
            <w:tcW w:w="21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Inspection, once implementation exists</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Dependency vulnerabilities</w:t>
            </w:r>
          </w:p>
        </w:tc>
        <w:tc>
          <w:tcPr>
            <w:tcW w:w="4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defined for this feature as of this draft.</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TBD</w:t>
            </w:r>
          </w:p>
        </w:tc>
      </w:tr>
    </w:tbl>
    <w:p>
      <w:pPr>
        <w:pStyle w:val="Normal"/>
        <w:spacing w:before="60" w:after="160"/>
        <w:rPr/>
      </w:pPr>
      <w:r>
        <w:rPr>
          <w:i/>
          <w:iCs/>
        </w:rPr>
        <w:t>Note. The role permission matrix that drives the authorization row belongs in the Technical Design Document. Reference it rather than duplicating it.</w:t>
      </w:r>
    </w:p>
    <w:p>
      <w:pPr>
        <w:pStyle w:val="Heading2"/>
        <w:rPr/>
      </w:pPr>
      <w:bookmarkStart w:id="162" w:name="__RefHeading___Toc10450_627777545"/>
      <w:bookmarkStart w:id="163" w:name="_Toc236656583"/>
      <w:bookmarkEnd w:id="162"/>
      <w:r>
        <w:rPr/>
        <w:t>11.6 Privacy and Regulatory Compliance</w:t>
      </w:r>
      <w:bookmarkEnd w:id="163"/>
    </w:p>
    <w:p>
      <w:pPr>
        <w:pStyle w:val="Normal"/>
        <w:spacing w:before="150" w:after="40"/>
        <w:rPr/>
      </w:pPr>
      <w:r>
        <w:rPr>
          <w:b/>
        </w:rPr>
        <w:t>Table 49</w:t>
      </w:r>
    </w:p>
    <w:p>
      <w:pPr>
        <w:pStyle w:val="Normal"/>
        <w:spacing w:before="0" w:after="80"/>
        <w:rPr/>
      </w:pPr>
      <w:r>
        <w:rPr>
          <w:i/>
          <w:iCs/>
        </w:rPr>
        <w:t>Applicable Regulations and Resulting Requirements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199"/>
        <w:gridCol w:w="2600"/>
        <w:gridCol w:w="2400"/>
        <w:gridCol w:w="2160"/>
      </w:tblGrid>
      <w:tr>
        <w:trPr>
          <w:tblHeader w:val="true"/>
          <w:cantSplit w:val="true"/>
        </w:trPr>
        <w:tc>
          <w:tcPr>
            <w:tcW w:w="21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Regulation or standard</w:t>
            </w:r>
          </w:p>
        </w:tc>
        <w:tc>
          <w:tcPr>
            <w:tcW w:w="26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Applies because</w:t>
            </w:r>
          </w:p>
        </w:tc>
        <w:tc>
          <w:tcPr>
            <w:tcW w:w="24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Resulting requirements</w:t>
            </w:r>
          </w:p>
        </w:tc>
        <w:tc>
          <w:tcPr>
            <w:tcW w:w="21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Evidence</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HIPAA and HITECH</w:t>
            </w:r>
          </w:p>
        </w:tc>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4"/>
              </w:rPr>
              <w:t>Disputed — not resolved (OQ-09). Team constraint (Section 2.6) states HIPAA does not apply; the Aug 15, 2026 meeting transcript records the client questioning applicability, while a separate notes record of the same meeting asserts HIPAA and Privacy Act compliance will be followed.</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4"/>
              </w:rPr>
              <w:t>None assigned pending resolution</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4"/>
              </w:rPr>
              <w:t>AS-03 (Section 2.7); client/product owner confirmation still needed</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FTC Health Breach Notification Rule</w:t>
            </w:r>
          </w:p>
        </w:tc>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4"/>
              </w:rPr>
              <w:t>Possibly applicable if HIPAA is confirmed not to apply — a consumer health app not acting for a HIPAA-covered entity can still fall under FTC jurisdiction. Not yet assessed by the team.</w:t>
            </w:r>
          </w:p>
        </w:tc>
        <w:tc>
          <w:tcPr>
            <w:tcW w:w="24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4"/>
              </w:rPr>
              <w:t>None assigned</w:t>
            </w:r>
          </w:p>
        </w:tc>
        <w:tc>
          <w:tcPr>
            <w:tcW w:w="21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4"/>
              </w:rPr>
              <w:t>Not yet assessed</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GDPR or state privacy law</w:t>
            </w:r>
          </w:p>
        </w:tc>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4"/>
              </w:rPr>
              <w:t>Not yet assessed — user location/jurisdiction has not been confirmed by the client.</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4"/>
              </w:rPr>
              <w:t>None assigned</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4"/>
              </w:rPr>
              <w:t>Not yet assessed</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Section 508 and WCAG 2.1 AA</w:t>
            </w:r>
          </w:p>
        </w:tc>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4"/>
              </w:rPr>
              <w:t>Applies — course requirement (CRS-01, Requirements Briefing §7).</w:t>
            </w:r>
          </w:p>
        </w:tc>
        <w:tc>
          <w:tcPr>
            <w:tcW w:w="24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4"/>
              </w:rPr>
              <w:t>NFR-ACC-01 to NFR-ACC-06 (Section 11.7)</w:t>
            </w:r>
          </w:p>
        </w:tc>
        <w:tc>
          <w:tcPr>
            <w:tcW w:w="21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4"/>
              </w:rPr>
              <w:t>VPAT, submitted each milestone</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PCI DSS</w:t>
            </w:r>
          </w:p>
        </w:tc>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4"/>
              </w:rPr>
              <w:t>Not applicable — the Medicare feature involves no payment data.</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4"/>
              </w:rPr>
              <w:t>None</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4"/>
              </w:rPr>
              <w:t>Not applicable</w:t>
            </w:r>
          </w:p>
        </w:tc>
      </w:tr>
    </w:tbl>
    <w:p>
      <w:pPr>
        <w:pStyle w:val="Normal"/>
        <w:spacing w:before="60" w:after="160"/>
        <w:rPr/>
      </w:pPr>
      <w:r>
        <w:rPr>
          <w:i/>
          <w:iCs/>
        </w:rPr>
        <w:t>Note. State non-applicability explicitly and give the reason. A consumer caregiving app that is not acting for a covered entity generally falls outside HIPAA and under the Federal Trade Commission rule instead.</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cantSplit w:val="true"/>
        </w:trPr>
        <w:tc>
          <w:tcPr>
            <w:tcW w:w="9360" w:type="dxa"/>
            <w:tcBorders>
              <w:top w:val="single" w:sz="4" w:space="0" w:color="000000"/>
              <w:left w:val="single" w:sz="4" w:space="0" w:color="000000"/>
              <w:bottom w:val="single" w:sz="4" w:space="0" w:color="000000"/>
              <w:right w:val="single" w:sz="4" w:space="0" w:color="000000"/>
            </w:tcBorders>
            <w:shd w:color="auto" w:fill="FDF3E0" w:val="clear"/>
          </w:tcPr>
          <w:p>
            <w:pPr>
              <w:pStyle w:val="Normal"/>
              <w:widowControl/>
              <w:bidi w:val="0"/>
              <w:spacing w:lineRule="auto" w:line="276" w:before="0" w:after="130"/>
              <w:jc w:val="left"/>
              <w:rPr/>
            </w:pPr>
            <w:r>
              <w:rPr>
                <w:b w:val="false"/>
                <w:i w:val="false"/>
                <w:sz w:val="18"/>
              </w:rPr>
              <w:t>Flag — not yet resolved. This is the same HIPAA-applicability conflict flagged in Section 2.6 and tracked as AS-03 (Section 2.7) and OQ-09 (Section 3.5). It is deliberately not resolved here: this SRS records that the team's own working assumption (HIPAA does not apply) and one source's reading of the Aug 15 client meeting disagree with a separate notes record of the same meeting. Every security and privacy requirement in this document is written as though HIPAA does not apply; if the client/product owner later confirms it does, NFR-SEC-01–03 and this table would need to be revisited for HIPAA-specific obligations (breach notification timelines, minimum-necessary access, a signed business associate agreement with any third-party processor) that are not currently specified anywhere in this document.</w:t>
            </w:r>
          </w:p>
        </w:tc>
      </w:tr>
    </w:tbl>
    <w:p>
      <w:pPr>
        <w:pStyle w:val="Heading2"/>
        <w:rPr/>
      </w:pPr>
      <w:bookmarkStart w:id="164" w:name="__RefHeading___Toc10452_627777545"/>
      <w:bookmarkStart w:id="165" w:name="_Toc236656584"/>
      <w:bookmarkEnd w:id="164"/>
      <w:r>
        <w:rPr/>
        <w:t>11.7 Accessibility</w:t>
      </w:r>
      <w:bookmarkEnd w:id="165"/>
    </w:p>
    <w:p>
      <w:pPr>
        <w:pStyle w:val="Normal"/>
        <w:rPr/>
      </w:pPr>
      <w:r>
        <w:rPr/>
        <w:t>Accessibility requirements are written here in the same form as every other requirement and are traced to the VPAT deliverable, which is submitted at every milestone.</w:t>
      </w:r>
    </w:p>
    <w:p>
      <w:pPr>
        <w:pStyle w:val="Normal"/>
        <w:spacing w:before="150" w:after="40"/>
        <w:rPr/>
      </w:pPr>
      <w:r>
        <w:rPr>
          <w:b/>
        </w:rPr>
        <w:t>Table 50</w:t>
      </w:r>
    </w:p>
    <w:p>
      <w:pPr>
        <w:pStyle w:val="Normal"/>
        <w:spacing w:before="0" w:after="80"/>
        <w:rPr/>
      </w:pPr>
      <w:r>
        <w:rPr>
          <w:i/>
          <w:iCs/>
        </w:rPr>
        <w:t>Accessibility Requirements Traced to WCAG and VPAT</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998"/>
        <w:gridCol w:w="1801"/>
        <w:gridCol w:w="3300"/>
        <w:gridCol w:w="1301"/>
        <w:gridCol w:w="999"/>
        <w:gridCol w:w="960"/>
      </w:tblGrid>
      <w:tr>
        <w:trPr>
          <w:tblHeader w:val="true"/>
          <w:cantSplit w:val="true"/>
        </w:trPr>
        <w:tc>
          <w:tcPr>
            <w:tcW w:w="9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ID</w:t>
            </w:r>
          </w:p>
        </w:tc>
        <w:tc>
          <w:tcPr>
            <w:tcW w:w="18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WCAG criterion</w:t>
            </w:r>
          </w:p>
        </w:tc>
        <w:tc>
          <w:tcPr>
            <w:tcW w:w="33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Requirement</w:t>
            </w:r>
          </w:p>
        </w:tc>
        <w:tc>
          <w:tcPr>
            <w:tcW w:w="13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Test method</w:t>
            </w:r>
          </w:p>
        </w:tc>
        <w:tc>
          <w:tcPr>
            <w:tcW w:w="9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VPAT row</w:t>
            </w:r>
          </w:p>
        </w:tc>
        <w:tc>
          <w:tcPr>
            <w:tcW w:w="9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Status</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assigned</w:t>
            </w:r>
          </w:p>
        </w:tc>
        <w:tc>
          <w:tcPr>
            <w:tcW w:w="18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1.1.1 Non-text content</w:t>
            </w:r>
          </w:p>
        </w:tc>
        <w:tc>
          <w:tcPr>
            <w:tcW w:w="3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Every image and icon shall carry a text alternative.</w:t>
            </w:r>
          </w:p>
        </w:tc>
        <w:tc>
          <w:tcPr>
            <w:tcW w:w="13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assigned</w:t>
            </w:r>
          </w:p>
        </w:tc>
        <w:tc>
          <w:tcPr>
            <w:tcW w:w="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assigned</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Gap — no NFR-ACC ID covers this criterion yet</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NFR-ACC-05</w:t>
            </w:r>
          </w:p>
        </w:tc>
        <w:tc>
          <w:tcPr>
            <w:tcW w:w="18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1.4.3 Contrast minimum</w:t>
            </w:r>
          </w:p>
        </w:tc>
        <w:tc>
          <w:tcPr>
            <w:tcW w:w="3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Text on the three Medicare screens shall meet a contrast ratio of at least 4.5:1 for normal text and 3:1 for large text.</w:t>
            </w:r>
          </w:p>
        </w:tc>
        <w:tc>
          <w:tcPr>
            <w:tcW w:w="13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Screen reader / contrast analyzer / manual, per criterion</w:t>
            </w:r>
          </w:p>
        </w:tc>
        <w:tc>
          <w:tcPr>
            <w:tcW w:w="9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submitted (no VPAT filed this milestone)</w:t>
            </w:r>
          </w:p>
        </w:tc>
        <w:tc>
          <w:tcPr>
            <w:tcW w:w="9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Proposed</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NFR-ACC-06</w:t>
            </w:r>
          </w:p>
        </w:tc>
        <w:tc>
          <w:tcPr>
            <w:tcW w:w="18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1.4.4 Resize text</w:t>
            </w:r>
          </w:p>
        </w:tc>
        <w:tc>
          <w:tcPr>
            <w:tcW w:w="3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The three Medicare screens shall remain fully operable with text scaled to 200% without loss of content or function.</w:t>
            </w:r>
          </w:p>
        </w:tc>
        <w:tc>
          <w:tcPr>
            <w:tcW w:w="13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Screen reader / contrast analyzer / manual, per criterion</w:t>
            </w:r>
          </w:p>
        </w:tc>
        <w:tc>
          <w:tcPr>
            <w:tcW w:w="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submitted (no VPAT filed this milestone)</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Proposed</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assigned</w:t>
            </w:r>
          </w:p>
        </w:tc>
        <w:tc>
          <w:tcPr>
            <w:tcW w:w="18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2.1.1 Keyboard</w:t>
            </w:r>
          </w:p>
        </w:tc>
        <w:tc>
          <w:tcPr>
            <w:tcW w:w="3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All functions shall be operable without a pointing device.</w:t>
            </w:r>
          </w:p>
        </w:tc>
        <w:tc>
          <w:tcPr>
            <w:tcW w:w="13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assigned</w:t>
            </w:r>
          </w:p>
        </w:tc>
        <w:tc>
          <w:tcPr>
            <w:tcW w:w="9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assigned</w:t>
            </w:r>
          </w:p>
        </w:tc>
        <w:tc>
          <w:tcPr>
            <w:tcW w:w="9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Gap — no NFR-ACC ID covers this criterion yet</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assigned</w:t>
            </w:r>
          </w:p>
        </w:tc>
        <w:tc>
          <w:tcPr>
            <w:tcW w:w="18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2.5.5 Target size</w:t>
            </w:r>
          </w:p>
        </w:tc>
        <w:tc>
          <w:tcPr>
            <w:tcW w:w="3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Interactive targets shall be at least 44 by 44 pixels.</w:t>
            </w:r>
          </w:p>
        </w:tc>
        <w:tc>
          <w:tcPr>
            <w:tcW w:w="13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assigned</w:t>
            </w:r>
          </w:p>
        </w:tc>
        <w:tc>
          <w:tcPr>
            <w:tcW w:w="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assigned</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Gap — no NFR-ACC ID covers this criterion yet</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NFR-ACC-04</w:t>
            </w:r>
          </w:p>
        </w:tc>
        <w:tc>
          <w:tcPr>
            <w:tcW w:w="18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3.3.1 Error identification</w:t>
            </w:r>
          </w:p>
        </w:tc>
        <w:tc>
          <w:tcPr>
            <w:tcW w:w="3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Every error state on the three Medicare screens shall identify the error in text naming what failed and what the user can do next.</w:t>
            </w:r>
          </w:p>
        </w:tc>
        <w:tc>
          <w:tcPr>
            <w:tcW w:w="13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Screen reader / contrast analyzer / manual, per criterion</w:t>
            </w:r>
          </w:p>
        </w:tc>
        <w:tc>
          <w:tcPr>
            <w:tcW w:w="9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submitted (no VPAT filed this milestone)</w:t>
            </w:r>
          </w:p>
        </w:tc>
        <w:tc>
          <w:tcPr>
            <w:tcW w:w="9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Proposed</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NFR-ACC-01</w:t>
            </w:r>
          </w:p>
        </w:tc>
        <w:tc>
          <w:tcPr>
            <w:tcW w:w="18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4.1.2 Name, role, value</w:t>
            </w:r>
          </w:p>
        </w:tc>
        <w:tc>
          <w:tcPr>
            <w:tcW w:w="3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Every interactive element on the Medicare linking, records, and comparison screens shall expose an accessible name, role, and state, announced correctly by TalkBack and VoiceOver.</w:t>
            </w:r>
          </w:p>
        </w:tc>
        <w:tc>
          <w:tcPr>
            <w:tcW w:w="13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Screen reader / contrast analyzer / manual, per criterion</w:t>
            </w:r>
          </w:p>
        </w:tc>
        <w:tc>
          <w:tcPr>
            <w:tcW w:w="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submitted (no VPAT filed this milestone)</w:t>
            </w:r>
          </w:p>
        </w:tc>
        <w:tc>
          <w:tcPr>
            <w:tcW w:w="9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Proposed</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NFR-ACC-02</w:t>
            </w:r>
          </w:p>
        </w:tc>
        <w:tc>
          <w:tcPr>
            <w:tcW w:w="18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2.4.3 Focus order / 3.2.3 Consistent navigation</w:t>
            </w:r>
          </w:p>
        </w:tc>
        <w:tc>
          <w:tcPr>
            <w:tcW w:w="3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On return from the Medicare-hosted authentication page, the system shall place keyboard and screen-reader focus on the linking-result heading and announce the change of context.</w:t>
            </w:r>
          </w:p>
        </w:tc>
        <w:tc>
          <w:tcPr>
            <w:tcW w:w="13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Screen reader, manual</w:t>
            </w:r>
          </w:p>
        </w:tc>
        <w:tc>
          <w:tcPr>
            <w:tcW w:w="9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Not yet submitted</w:t>
            </w:r>
          </w:p>
        </w:tc>
        <w:tc>
          <w:tcPr>
            <w:tcW w:w="9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Proposed</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NFR-ACC-03</w:t>
            </w:r>
          </w:p>
        </w:tc>
        <w:tc>
          <w:tcPr>
            <w:tcW w:w="18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1.4.1 Use of color</w:t>
            </w:r>
          </w:p>
        </w:tc>
        <w:tc>
          <w:tcPr>
            <w:tcW w:w="3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The system shall convey delta status by text or by an icon with a text alternative, and shall not convey it by color alone.</w:t>
            </w:r>
          </w:p>
        </w:tc>
        <w:tc>
          <w:tcPr>
            <w:tcW w:w="13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Manual</w:t>
            </w:r>
          </w:p>
        </w:tc>
        <w:tc>
          <w:tcPr>
            <w:tcW w:w="9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Not yet submitted</w:t>
            </w:r>
          </w:p>
        </w:tc>
        <w:tc>
          <w:tcPr>
            <w:tcW w:w="96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Proposed (M2, with FEAT-03)</w:t>
            </w:r>
          </w:p>
        </w:tc>
      </w:tr>
    </w:tbl>
    <w:p>
      <w:pPr>
        <w:pStyle w:val="Normal"/>
        <w:spacing w:before="60" w:after="160"/>
        <w:rPr/>
      </w:pPr>
      <w:r>
        <w:rPr>
          <w:i/>
          <w:iCs/>
        </w:rPr>
        <w:t>Note. Add a row for every Level A and AA criterion that applies to your interface. These rows become the evidence behind the VPAT.</w:t>
      </w:r>
    </w:p>
    <w:p>
      <w:pPr>
        <w:pStyle w:val="Heading2"/>
        <w:rPr/>
      </w:pPr>
      <w:bookmarkStart w:id="166" w:name="__RefHeading___Toc10454_627777545"/>
      <w:bookmarkStart w:id="167" w:name="_Toc236656585"/>
      <w:bookmarkEnd w:id="166"/>
      <w:r>
        <w:rPr/>
        <w:t>11.8 Usability</w:t>
      </w:r>
      <w:bookmarkEnd w:id="167"/>
    </w:p>
    <w:p>
      <w:pPr>
        <w:pStyle w:val="Normal"/>
        <w:rPr/>
      </w:pPr>
      <w:r>
        <w:rPr/>
        <w:t>No numeric usability target (task completion rate, time on task, error rate) has been set by the client as of this draft. Usability validation is planned against the User Needs Analysis personas (P-01 patient, P-02 patient, P-03 caregiver) once a design exists to test, per the engagement strategy in the Stakeholder Analysis (PMP Section 5.3).</w:t>
      </w:r>
    </w:p>
    <w:p>
      <w:pPr>
        <w:pStyle w:val="Heading2"/>
        <w:rPr/>
      </w:pPr>
      <w:bookmarkStart w:id="168" w:name="__RefHeading___Toc10456_627777545"/>
      <w:bookmarkStart w:id="169" w:name="_Toc236656586"/>
      <w:bookmarkEnd w:id="168"/>
      <w:r>
        <w:rPr/>
        <w:t>11.9 Maintainability</w:t>
      </w:r>
      <w:bookmarkEnd w:id="169"/>
    </w:p>
    <w:p>
      <w:pPr>
        <w:pStyle w:val="Normal"/>
        <w:spacing w:before="150" w:after="40"/>
        <w:rPr/>
      </w:pPr>
      <w:r>
        <w:rPr>
          <w:b/>
        </w:rPr>
        <w:t>Table 51</w:t>
      </w:r>
    </w:p>
    <w:p>
      <w:pPr>
        <w:pStyle w:val="Normal"/>
        <w:spacing w:before="0" w:after="80"/>
        <w:rPr/>
      </w:pPr>
      <w:r>
        <w:rPr>
          <w:i/>
          <w:iCs/>
        </w:rPr>
        <w:t>Maintainability Requirements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998"/>
        <w:gridCol w:w="1901"/>
        <w:gridCol w:w="4300"/>
        <w:gridCol w:w="2160"/>
      </w:tblGrid>
      <w:tr>
        <w:trPr>
          <w:tblHeader w:val="true"/>
          <w:cantSplit w:val="true"/>
        </w:trPr>
        <w:tc>
          <w:tcPr>
            <w:tcW w:w="9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ID</w:t>
            </w:r>
          </w:p>
        </w:tc>
        <w:tc>
          <w:tcPr>
            <w:tcW w:w="19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Attribute</w:t>
            </w:r>
          </w:p>
        </w:tc>
        <w:tc>
          <w:tcPr>
            <w:tcW w:w="43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Target</w:t>
            </w:r>
          </w:p>
        </w:tc>
        <w:tc>
          <w:tcPr>
            <w:tcW w:w="21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Verification</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Unit test coverage</w:t>
            </w:r>
          </w:p>
        </w:tc>
        <w:tc>
          <w:tcPr>
            <w:tcW w:w="4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set by the team for the Medicare feature.</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TBD</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REQ-nnnn</w:t>
            </w:r>
          </w:p>
        </w:tc>
        <w:tc>
          <w:tcPr>
            <w:tcW w:w="19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Static analysis</w:t>
            </w:r>
          </w:p>
        </w:tc>
        <w:tc>
          <w:tcPr>
            <w:tcW w:w="4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set by the team for the Medicare feature.</w:t>
            </w:r>
          </w:p>
        </w:tc>
        <w:tc>
          <w:tcPr>
            <w:tcW w:w="21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TBD</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Coding standard</w:t>
            </w:r>
          </w:p>
        </w:tc>
        <w:tc>
          <w:tcPr>
            <w:tcW w:w="4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Inherited Dart/Flutter and Java/Spring Boot conventions from the prior cohort (Section 2.6); no Medicare-specific addition yet.</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TBD</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REQ-nnnn</w:t>
            </w:r>
          </w:p>
        </w:tc>
        <w:tc>
          <w:tcPr>
            <w:tcW w:w="19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API versioning</w:t>
            </w:r>
          </w:p>
        </w:tc>
        <w:tc>
          <w:tcPr>
            <w:tcW w:w="4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applicable yet — no internal API exists (Section 8.5).</w:t>
            </w:r>
          </w:p>
        </w:tc>
        <w:tc>
          <w:tcPr>
            <w:tcW w:w="21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TBD</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w:t>
            </w:r>
          </w:p>
        </w:tc>
        <w:tc>
          <w:tcPr>
            <w:tcW w:w="19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Onboarding</w:t>
            </w:r>
          </w:p>
        </w:tc>
        <w:tc>
          <w:tcPr>
            <w:tcW w:w="4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measured; the Programmer Guide the target trial depends on has not been written.</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TBD</w:t>
            </w:r>
          </w:p>
        </w:tc>
      </w:tr>
    </w:tbl>
    <w:p>
      <w:pPr>
        <w:pStyle w:val="Normal"/>
        <w:spacing w:before="60" w:after="160"/>
        <w:rPr/>
      </w:pPr>
      <w:r>
        <w:rPr>
          <w:i/>
          <w:iCs/>
        </w:rPr>
        <w:t>Note. The onboarding requirement is the one that most helps the next cohort, and it is easy to test.</w:t>
      </w:r>
    </w:p>
    <w:p>
      <w:pPr>
        <w:pStyle w:val="Heading2"/>
        <w:rPr/>
      </w:pPr>
      <w:bookmarkStart w:id="170" w:name="__RefHeading___Toc10458_627777545"/>
      <w:bookmarkStart w:id="171" w:name="_Toc236656587"/>
      <w:bookmarkEnd w:id="170"/>
      <w:r>
        <w:rPr/>
        <w:t>11.10 Observability</w:t>
      </w:r>
      <w:bookmarkEnd w:id="171"/>
    </w:p>
    <w:p>
      <w:pPr>
        <w:pStyle w:val="Normal"/>
        <w:rPr/>
      </w:pPr>
      <w:r>
        <w:rPr/>
        <w:t>Not yet fully defined. The one observability rule currently specified is a prohibition: a Medicare access token is never written to any log (NFR-SEC-03). No metrics, tracing, alerting, or dashboard requirements exist yet for this feature; audit logging of linking/unlinking events is a known gap (Section 9.4).</w:t>
      </w:r>
    </w:p>
    <w:p>
      <w:pPr>
        <w:pStyle w:val="Heading2"/>
        <w:rPr/>
      </w:pPr>
      <w:bookmarkStart w:id="172" w:name="__RefHeading___Toc10460_627777545"/>
      <w:bookmarkStart w:id="173" w:name="_Toc236656588"/>
      <w:bookmarkEnd w:id="172"/>
      <w:r>
        <w:rPr/>
        <w:t>11.11 Portability and Deployment</w:t>
      </w:r>
      <w:bookmarkEnd w:id="173"/>
    </w:p>
    <w:p>
      <w:pPr>
        <w:pStyle w:val="Normal"/>
        <w:rPr/>
      </w:pPr>
      <w:r>
        <w:rPr/>
        <w:t>The Medicare feature is hosted on AWS: Amplify for frontend hosting and CI/CD, CloudFront as CDN, and API Gateway as the backend entry point (TDD Section 3.4). Backend compute and region are not yet decided, and Amplify's GitHub third-party access approval is currently blocked (TDD Section 3.7). No requirement yet states that the system must be deployable from documentation alone; the Deployment and Operations Guide has not been written.</w:t>
      </w:r>
    </w:p>
    <w:p>
      <w:pPr>
        <w:pStyle w:val="Heading2"/>
        <w:rPr/>
      </w:pPr>
      <w:bookmarkStart w:id="174" w:name="__RefHeading___Toc10462_627777545"/>
      <w:bookmarkStart w:id="175" w:name="_Toc236656589"/>
      <w:bookmarkEnd w:id="174"/>
      <w:r>
        <w:rPr/>
        <w:t>11.12 Offline and Degraded Operation</w:t>
      </w:r>
      <w:bookmarkEnd w:id="175"/>
    </w:p>
    <w:p>
      <w:pPr>
        <w:pStyle w:val="Normal"/>
        <w:spacing w:before="150" w:after="40"/>
        <w:rPr/>
      </w:pPr>
      <w:r>
        <w:rPr>
          <w:b/>
        </w:rPr>
        <w:t>Table 52</w:t>
      </w:r>
    </w:p>
    <w:p>
      <w:pPr>
        <w:pStyle w:val="Normal"/>
        <w:spacing w:before="0" w:after="80"/>
        <w:rPr/>
      </w:pPr>
      <w:r>
        <w:rPr>
          <w:i/>
          <w:iCs/>
        </w:rPr>
        <w:t>Degraded Mode Requirements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998"/>
        <w:gridCol w:w="2202"/>
        <w:gridCol w:w="2400"/>
        <w:gridCol w:w="2198"/>
        <w:gridCol w:w="1562"/>
      </w:tblGrid>
      <w:tr>
        <w:trPr>
          <w:tblHeader w:val="true"/>
          <w:cantSplit w:val="true"/>
        </w:trPr>
        <w:tc>
          <w:tcPr>
            <w:tcW w:w="9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ID</w:t>
            </w:r>
          </w:p>
        </w:tc>
        <w:tc>
          <w:tcPr>
            <w:tcW w:w="220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Condition</w:t>
            </w:r>
          </w:p>
        </w:tc>
        <w:tc>
          <w:tcPr>
            <w:tcW w:w="24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Required behavior</w:t>
            </w:r>
          </w:p>
        </w:tc>
        <w:tc>
          <w:tcPr>
            <w:tcW w:w="21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Data handling</w:t>
            </w:r>
          </w:p>
        </w:tc>
        <w:tc>
          <w:tcPr>
            <w:tcW w:w="156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Verification</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NFR-DEG-01 (from FR-MCR-26/29)</w:t>
            </w:r>
          </w:p>
        </w:tc>
        <w:tc>
          <w:tcPr>
            <w:tcW w:w="22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Device has no network connection</w:t>
            </w:r>
          </w:p>
        </w:tc>
        <w:tc>
          <w:tcPr>
            <w:tcW w:w="24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Do not initiate linking (FR-MCR-26); on the records screen, show stored records with an offline indicator (FR-MCR-29)</w:t>
            </w:r>
          </w:p>
        </w:tc>
        <w:tc>
          <w:tcPr>
            <w:tcW w:w="21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No write attempted; read from local cache only</w:t>
            </w:r>
          </w:p>
        </w:tc>
        <w:tc>
          <w:tcPr>
            <w:tcW w:w="15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Test</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NFR-DEG-02 (from FR-MCR-23/24)</w:t>
            </w:r>
          </w:p>
        </w:tc>
        <w:tc>
          <w:tcPr>
            <w:tcW w:w="22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Medicare API rate-limited or unavailable</w:t>
            </w:r>
          </w:p>
        </w:tc>
        <w:tc>
          <w:tcPr>
            <w:tcW w:w="24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Retry up to 3 attempts with exponential backoff from 2s (FR-MCR-23); after retries exhausted, show stored records with ERR-MCR-03</w:t>
            </w:r>
          </w:p>
        </w:tc>
        <w:tc>
          <w:tcPr>
            <w:tcW w:w="21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No write; stale-marked read from cache</w:t>
            </w:r>
          </w:p>
        </w:tc>
        <w:tc>
          <w:tcPr>
            <w:tcW w:w="15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Test / fault injection</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NFR-DEG-03 (from FR-MCR-17)</w:t>
            </w:r>
          </w:p>
        </w:tc>
        <w:tc>
          <w:tcPr>
            <w:tcW w:w="22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Requested data not authorized for the requester</w:t>
            </w:r>
          </w:p>
        </w:tc>
        <w:tc>
          <w:tcPr>
            <w:tcW w:w="24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Reject with HTTP 404, no Medicare data returned (FR-MCR-17)</w:t>
            </w:r>
          </w:p>
        </w:tc>
        <w:tc>
          <w:tcPr>
            <w:tcW w:w="21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No read or write performed</w:t>
            </w:r>
          </w:p>
        </w:tc>
        <w:tc>
          <w:tcPr>
            <w:tcW w:w="15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Test</w:t>
            </w:r>
          </w:p>
        </w:tc>
      </w:tr>
      <w:tr>
        <w:trPr>
          <w:cantSplit w:val="true"/>
        </w:trPr>
        <w:tc>
          <w:tcPr>
            <w:tcW w:w="9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NFR-DEG-04 (from FR-XSRC-05)</w:t>
            </w:r>
          </w:p>
        </w:tc>
        <w:tc>
          <w:tcPr>
            <w:tcW w:w="22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A peer source is unavailable during comparison (M2)</w:t>
            </w:r>
          </w:p>
        </w:tc>
        <w:tc>
          <w:tcPr>
            <w:tcW w:w="24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Display Medicare data; mark that source's comparison unavailable (FR-XSRC-05, ERR-XSRC-01)</w:t>
            </w:r>
          </w:p>
        </w:tc>
        <w:tc>
          <w:tcPr>
            <w:tcW w:w="21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Read from Medicare only; peer comparison skipped</w:t>
            </w:r>
          </w:p>
        </w:tc>
        <w:tc>
          <w:tcPr>
            <w:tcW w:w="15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Fault injection</w:t>
            </w:r>
          </w:p>
        </w:tc>
      </w:tr>
    </w:tbl>
    <w:p>
      <w:pPr>
        <w:pStyle w:val="Normal"/>
        <w:spacing w:before="60" w:after="160"/>
        <w:rPr/>
      </w:pPr>
      <w:r>
        <w:rPr>
          <w:i/>
          <w:iCs/>
        </w:rPr>
        <w:t>Note. Offline behavior is a functional requirement disguised as a non-functional one. Specify the data reconciliation rule, not just the availability of the screen.</w:t>
      </w:r>
    </w:p>
    <w:p>
      <w:pPr>
        <w:pStyle w:val="Normal"/>
        <w:rPr/>
      </w:pPr>
      <w:r>
        <w:rPr/>
      </w:r>
      <w:r>
        <w:br w:type="page"/>
      </w:r>
    </w:p>
    <w:p>
      <w:pPr>
        <w:pStyle w:val="Heading1"/>
        <w:spacing w:before="0" w:after="150"/>
        <w:rPr/>
      </w:pPr>
      <w:bookmarkStart w:id="176" w:name="__RefHeading___Toc10464_627777545"/>
      <w:bookmarkStart w:id="177" w:name="_Toc236656590"/>
      <w:bookmarkEnd w:id="176"/>
      <w:r>
        <w:rPr/>
        <w:t>12. Development and Environment Constraints</w:t>
      </w:r>
      <w:bookmarkEnd w:id="177"/>
    </w:p>
    <w:p>
      <w:pPr>
        <w:pStyle w:val="Normal"/>
        <w:rPr/>
      </w:pPr>
      <w:r>
        <w:rPr/>
        <w:t>These constraints shape what the requirements above can assume. They are recorded here in summary form; the operational detail belongs in the Programmer Guide, the Technical Design Document, and the Deployment and Operations Guide. State the constraint and cross-reference rather than duplicating.</w:t>
      </w:r>
    </w:p>
    <w:p>
      <w:pPr>
        <w:pStyle w:val="Heading2"/>
        <w:rPr/>
      </w:pPr>
      <w:bookmarkStart w:id="178" w:name="__RefHeading___Toc10466_627777545"/>
      <w:bookmarkStart w:id="179" w:name="_Toc236656591"/>
      <w:bookmarkEnd w:id="178"/>
      <w:r>
        <w:rPr/>
        <w:t>12.1 Source Control and Collaboration</w:t>
      </w:r>
      <w:bookmarkEnd w:id="179"/>
    </w:p>
    <w:p>
      <w:pPr>
        <w:pStyle w:val="Normal"/>
        <w:spacing w:before="150" w:after="40"/>
        <w:rPr/>
      </w:pPr>
      <w:r>
        <w:rPr>
          <w:b/>
        </w:rPr>
        <w:t>Table 53</w:t>
      </w:r>
    </w:p>
    <w:p>
      <w:pPr>
        <w:pStyle w:val="Normal"/>
        <w:spacing w:before="0" w:after="80"/>
        <w:rPr/>
      </w:pPr>
      <w:r>
        <w:rPr>
          <w:i/>
          <w:iCs/>
        </w:rPr>
        <w:t>Repository and Workflow Constraints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198"/>
        <w:gridCol w:w="5000"/>
        <w:gridCol w:w="2162"/>
      </w:tblGrid>
      <w:tr>
        <w:trPr>
          <w:tblHeader w:val="true"/>
          <w:cantSplit w:val="true"/>
        </w:trPr>
        <w:tc>
          <w:tcPr>
            <w:tcW w:w="21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Item</w:t>
            </w:r>
          </w:p>
        </w:tc>
        <w:tc>
          <w:tcPr>
            <w:tcW w:w="5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Constraint</w:t>
            </w:r>
          </w:p>
        </w:tc>
        <w:tc>
          <w:tcPr>
            <w:tcW w:w="216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Detail lives in</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Repository</w:t>
            </w:r>
          </w:p>
        </w:tc>
        <w:tc>
          <w:tcPr>
            <w:tcW w:w="5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https://github.com/umgc/2026_summer_careconnect (inherited from the prior cohort, Section 2.2)</w:t>
            </w:r>
          </w:p>
        </w:tc>
        <w:tc>
          <w:tcPr>
            <w:tcW w:w="21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Programmer Guide</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Branching model</w:t>
            </w:r>
          </w:p>
        </w:tc>
        <w:tc>
          <w:tcPr>
            <w:tcW w:w="5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formalized by the team for the Medicare feature.</w:t>
            </w:r>
          </w:p>
        </w:tc>
        <w:tc>
          <w:tcPr>
            <w:tcW w:w="21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Programmer Guide</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Pull requests</w:t>
            </w:r>
          </w:p>
        </w:tc>
        <w:tc>
          <w:tcPr>
            <w:tcW w:w="5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Not yet formalized by the team for the Medicare feature.</w:t>
            </w:r>
          </w:p>
        </w:tc>
        <w:tc>
          <w:tcPr>
            <w:tcW w:w="21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Programmer Guide</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Commit convention</w:t>
            </w:r>
          </w:p>
        </w:tc>
        <w:tc>
          <w:tcPr>
            <w:tcW w:w="5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formalized; the intent (referencing FR-MCR/FR-XSRC IDs in commits) matches Table 18's Trace attribute but has not been written down as a team rule.</w:t>
            </w:r>
          </w:p>
        </w:tc>
        <w:tc>
          <w:tcPr>
            <w:tcW w:w="21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Programmer Guide</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Issue tracking</w:t>
            </w:r>
          </w:p>
        </w:tc>
        <w:tc>
          <w:tcPr>
            <w:tcW w:w="5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Team collaboration tool (Section 3.1, SH-03); not yet linked to requirement IDs formally.</w:t>
            </w:r>
          </w:p>
        </w:tc>
        <w:tc>
          <w:tcPr>
            <w:tcW w:w="21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Project Plan</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Pipeline gates</w:t>
            </w:r>
          </w:p>
        </w:tc>
        <w:tc>
          <w:tcPr>
            <w:tcW w:w="5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defined for the Medicare feature.</w:t>
            </w:r>
          </w:p>
        </w:tc>
        <w:tc>
          <w:tcPr>
            <w:tcW w:w="21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Deployment and Operations Guide</w:t>
            </w:r>
          </w:p>
        </w:tc>
      </w:tr>
    </w:tbl>
    <w:p>
      <w:pPr>
        <w:pStyle w:val="Normal"/>
        <w:spacing w:before="60" w:after="160"/>
        <w:rPr/>
      </w:pPr>
      <w:r>
        <w:rPr>
          <w:i/>
          <w:iCs/>
        </w:rPr>
        <w:t>Note. The commit convention matters to this document: a commit that names its requirement identifier is what makes the traceability matrix in Section 15 verifiable rather than asserted.</w:t>
      </w:r>
    </w:p>
    <w:p>
      <w:pPr>
        <w:pStyle w:val="Heading2"/>
        <w:rPr/>
      </w:pPr>
      <w:bookmarkStart w:id="180" w:name="__RefHeading___Toc10468_627777545"/>
      <w:bookmarkStart w:id="181" w:name="_Toc236656592"/>
      <w:bookmarkEnd w:id="180"/>
      <w:r>
        <w:rPr/>
        <w:t>12.2 Environment and Deployment Assumptions</w:t>
      </w:r>
      <w:bookmarkEnd w:id="181"/>
    </w:p>
    <w:p>
      <w:pPr>
        <w:pStyle w:val="Normal"/>
        <w:spacing w:before="150" w:after="40"/>
        <w:rPr/>
      </w:pPr>
      <w:r>
        <w:rPr>
          <w:b/>
        </w:rPr>
        <w:t>Table 54</w:t>
      </w:r>
    </w:p>
    <w:p>
      <w:pPr>
        <w:pStyle w:val="Normal"/>
        <w:spacing w:before="0" w:after="80"/>
        <w:rPr/>
      </w:pPr>
      <w:r>
        <w:rPr>
          <w:i/>
          <w:iCs/>
        </w:rPr>
        <w:t>Environment Assumptions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798"/>
        <w:gridCol w:w="2400"/>
        <w:gridCol w:w="2202"/>
        <w:gridCol w:w="1200"/>
        <w:gridCol w:w="1760"/>
      </w:tblGrid>
      <w:tr>
        <w:trPr>
          <w:tblHeader w:val="true"/>
          <w:cantSplit w:val="true"/>
        </w:trPr>
        <w:tc>
          <w:tcPr>
            <w:tcW w:w="17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Environment</w:t>
            </w:r>
          </w:p>
        </w:tc>
        <w:tc>
          <w:tcPr>
            <w:tcW w:w="24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Purpose</w:t>
            </w:r>
          </w:p>
        </w:tc>
        <w:tc>
          <w:tcPr>
            <w:tcW w:w="220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Hosting</w:t>
            </w:r>
          </w:p>
        </w:tc>
        <w:tc>
          <w:tcPr>
            <w:tcW w:w="12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Data</w:t>
            </w:r>
          </w:p>
        </w:tc>
        <w:tc>
          <w:tcPr>
            <w:tcW w:w="17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Access</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Local</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Development</w:t>
            </w:r>
          </w:p>
        </w:tc>
        <w:tc>
          <w:tcPr>
            <w:tcW w:w="22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Individual developer machine</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Synthetic</w:t>
            </w:r>
          </w:p>
        </w:tc>
        <w:tc>
          <w:tcPr>
            <w:tcW w:w="17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AWS Amplify staging (once Amplify GitHub access is approved, TDD Section 3.7)</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Integration</w:t>
            </w:r>
          </w:p>
        </w:tc>
        <w:tc>
          <w:tcPr>
            <w:tcW w:w="24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Continuous integration</w:t>
            </w:r>
          </w:p>
        </w:tc>
        <w:tc>
          <w:tcPr>
            <w:tcW w:w="22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yet set up for the Medicare feature</w:t>
            </w:r>
          </w:p>
        </w:tc>
        <w:tc>
          <w:tcPr>
            <w:tcW w:w="1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Synthetic</w:t>
            </w:r>
          </w:p>
        </w:tc>
        <w:tc>
          <w:tcPr>
            <w:tcW w:w="17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Team</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Staging or demo</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Milestone demonstration and UAT</w:t>
            </w:r>
          </w:p>
        </w:tc>
        <w:tc>
          <w:tcPr>
            <w:tcW w:w="22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AWS Amplify + CloudFront (TDD Section 3.4)</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Synthetic</w:t>
            </w:r>
          </w:p>
        </w:tc>
        <w:tc>
          <w:tcPr>
            <w:tcW w:w="17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Team and client</w:t>
            </w:r>
          </w:p>
        </w:tc>
      </w:tr>
      <w:tr>
        <w:trPr>
          <w:cantSplit w:val="true"/>
        </w:trPr>
        <w:tc>
          <w:tcPr>
            <w:tcW w:w="17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Production, if used</w:t>
            </w:r>
          </w:p>
        </w:tc>
        <w:tc>
          <w:tcPr>
            <w:tcW w:w="24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applicable this term — no production environment planned</w:t>
            </w:r>
          </w:p>
        </w:tc>
        <w:tc>
          <w:tcPr>
            <w:tcW w:w="22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applicable</w:t>
            </w:r>
          </w:p>
        </w:tc>
        <w:tc>
          <w:tcPr>
            <w:tcW w:w="1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applicable</w:t>
            </w:r>
          </w:p>
        </w:tc>
        <w:tc>
          <w:tcPr>
            <w:tcW w:w="17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Not applicable</w:t>
            </w:r>
          </w:p>
        </w:tc>
      </w:tr>
    </w:tbl>
    <w:p>
      <w:pPr>
        <w:pStyle w:val="Normal"/>
        <w:spacing w:before="60" w:after="160"/>
        <w:rPr/>
      </w:pPr>
      <w:r>
        <w:rPr>
          <w:i/>
          <w:iCs/>
        </w:rPr>
        <w:t>Note. No environment in this course holds real patient data at any point in the term.</w:t>
      </w:r>
    </w:p>
    <w:p>
      <w:pPr>
        <w:pStyle w:val="Heading2"/>
        <w:rPr/>
      </w:pPr>
      <w:bookmarkStart w:id="182" w:name="__RefHeading___Toc10470_627777545"/>
      <w:bookmarkStart w:id="183" w:name="_Toc236656593"/>
      <w:bookmarkEnd w:id="182"/>
      <w:r>
        <w:rPr/>
        <w:t>12.3 Cloud Platform Assumptions</w:t>
      </w:r>
      <w:bookmarkEnd w:id="183"/>
    </w:p>
    <w:p>
      <w:pPr>
        <w:pStyle w:val="Normal"/>
        <w:rPr/>
      </w:pPr>
      <w:r>
        <w:rPr/>
        <w:t>Platform: AWS, confirmed. Services: Amplify (frontend hosting, CI/CD), CloudFront (CDN), API Gateway (backend entry point) — all confirmed per TDD Section 3.4. Region and backend compute service are not yet decided. Identity and access: the existing CareConnect SecurityConfig/Role model is reused, not replaced (Section 2.4). Secrets storage, object storage, database service, and messaging are not yet decided for the Medicare feature specifically; the existing PostgreSQL instance is reused for new tables (Section 9.1, Figure 7). Billing account: not yet documented by the team.</w:t>
      </w:r>
    </w:p>
    <w:p>
      <w:pPr>
        <w:pStyle w:val="Heading1"/>
        <w:rPr/>
      </w:pPr>
      <w:bookmarkStart w:id="184" w:name="__RefHeading___Toc10472_627777545"/>
      <w:bookmarkStart w:id="185" w:name="_Toc236656594"/>
      <w:bookmarkEnd w:id="184"/>
      <w:r>
        <w:rPr/>
        <w:t>13. Requirement Risks and Degraded Modes</w:t>
      </w:r>
      <w:bookmarkEnd w:id="185"/>
    </w:p>
    <w:p>
      <w:pPr>
        <w:pStyle w:val="Normal"/>
        <w:rPr/>
      </w:pPr>
      <w:r>
        <w:rPr/>
        <w:t>These are risks that affect the requirements themselves: things that could make a requirement unimplementable, untestable, or wrong. Project delivery risks belong in the Project Plan.</w:t>
      </w:r>
    </w:p>
    <w:p>
      <w:pPr>
        <w:pStyle w:val="Normal"/>
        <w:spacing w:before="150" w:after="40"/>
        <w:rPr/>
      </w:pPr>
      <w:r>
        <w:rPr>
          <w:b/>
        </w:rPr>
        <w:t>Table 55</w:t>
      </w:r>
    </w:p>
    <w:p>
      <w:pPr>
        <w:pStyle w:val="Normal"/>
        <w:spacing w:before="0" w:after="80"/>
        <w:rPr/>
      </w:pPr>
      <w:r>
        <w:rPr>
          <w:i/>
          <w:iCs/>
        </w:rPr>
        <w:t>Requirement Risk Register</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700"/>
        <w:gridCol w:w="3559"/>
        <w:gridCol w:w="1502"/>
        <w:gridCol w:w="1098"/>
        <w:gridCol w:w="901"/>
        <w:gridCol w:w="1599"/>
      </w:tblGrid>
      <w:tr>
        <w:trPr>
          <w:tblHeader w:val="true"/>
          <w:cantSplit w:val="true"/>
        </w:trPr>
        <w:tc>
          <w:tcPr>
            <w:tcW w:w="7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ID</w:t>
            </w:r>
          </w:p>
        </w:tc>
        <w:tc>
          <w:tcPr>
            <w:tcW w:w="355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Risk (condition leads to consequence)</w:t>
            </w:r>
          </w:p>
        </w:tc>
        <w:tc>
          <w:tcPr>
            <w:tcW w:w="150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Requirements affected</w:t>
            </w:r>
          </w:p>
        </w:tc>
        <w:tc>
          <w:tcPr>
            <w:tcW w:w="10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Likelihood</w:t>
            </w:r>
          </w:p>
        </w:tc>
        <w:tc>
          <w:tcPr>
            <w:tcW w:w="9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Impact</w:t>
            </w:r>
          </w:p>
        </w:tc>
        <w:tc>
          <w:tcPr>
            <w:tcW w:w="1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Response</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RSK-01</w:t>
            </w:r>
          </w:p>
        </w:tc>
        <w:tc>
          <w:tcPr>
            <w:tcW w:w="355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If a Medicare sandbox is not made available in time, then no FR-MCR requirement can be implemented or verified this term.</w:t>
            </w:r>
          </w:p>
        </w:tc>
        <w:tc>
          <w:tcPr>
            <w:tcW w:w="15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All FR-MCR (36 requirements)</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Medium</w:t>
            </w:r>
          </w:p>
        </w:tc>
        <w:tc>
          <w:tcPr>
            <w:tcW w:w="9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High</w:t>
            </w:r>
          </w:p>
        </w:tc>
        <w:tc>
          <w:tcPr>
            <w:tcW w:w="15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Escalate OQ-03; team to request sandbox access immediately (owner TBD)</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RSK-02</w:t>
            </w:r>
          </w:p>
        </w:tc>
        <w:tc>
          <w:tcPr>
            <w:tcW w:w="355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If peer-team EHR interfaces (Epic, Aetna, Oracle Health) are never made available, then FEAT-03 cannot be implemented at all.</w:t>
            </w:r>
          </w:p>
        </w:tc>
        <w:tc>
          <w:tcPr>
            <w:tcW w:w="15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FR-XSRC-01 to FR-XSRC-09</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Medium</w:t>
            </w:r>
          </w:p>
        </w:tc>
        <w:tc>
          <w:tcPr>
            <w:tcW w:w="9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Medium</w:t>
            </w:r>
          </w:p>
        </w:tc>
        <w:tc>
          <w:tcPr>
            <w:tcW w:w="15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Escalate OQ-04; FEAT-03 stays in the deferred backlog (Section 5.2) if unresolved</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RSK-03</w:t>
            </w:r>
          </w:p>
        </w:tc>
        <w:tc>
          <w:tcPr>
            <w:tcW w:w="355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If the client/product owner never confirms whether HIPAA applies, then the security and privacy requirements in Section 11.5/11.6 may be incomplete for the actual regulatory obligation.</w:t>
            </w:r>
          </w:p>
        </w:tc>
        <w:tc>
          <w:tcPr>
            <w:tcW w:w="15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NFR-SEC-01 to NFR-SEC-03, all of Section 11.6</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Low</w:t>
            </w:r>
          </w:p>
        </w:tc>
        <w:tc>
          <w:tcPr>
            <w:tcW w:w="9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High</w:t>
            </w:r>
          </w:p>
        </w:tc>
        <w:tc>
          <w:tcPr>
            <w:tcW w:w="15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Escalate OQ-09; treat as HIPAA-non-applicable until told otherwise (AS-03)</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RSK-04</w:t>
            </w:r>
          </w:p>
        </w:tc>
        <w:tc>
          <w:tcPr>
            <w:tcW w:w="355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If the requirements workbook's M1/Must tags on FR-MCR-01–29 are graded literally against "verified in M1" acceptance criteria, then the team may be scored against a commitment it never agreed to.</w:t>
            </w:r>
          </w:p>
        </w:tc>
        <w:tc>
          <w:tcPr>
            <w:tcW w:w="15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FR-MCR-01 to FR-MCR-29, related NFRs</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Medium</w:t>
            </w:r>
          </w:p>
        </w:tc>
        <w:tc>
          <w:tcPr>
            <w:tcW w:w="9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High</w:t>
            </w:r>
          </w:p>
        </w:tc>
        <w:tc>
          <w:tcPr>
            <w:tcW w:w="15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Escalate OQ-10 with the Business Analyst (Kris) before Milestone 1 submission</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RSK-05</w:t>
            </w:r>
          </w:p>
        </w:tc>
        <w:tc>
          <w:tcPr>
            <w:tcW w:w="355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If Amplify's GitHub third-party access approval remains blocked, then the team cannot deploy the frontend to the staging/demo environment for the Milestone 1 presentation.</w:t>
            </w:r>
          </w:p>
        </w:tc>
        <w:tc>
          <w:tcPr>
            <w:tcW w:w="150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Section 5.1 (Increment Acceptance)</w:t>
            </w:r>
          </w:p>
        </w:tc>
        <w:tc>
          <w:tcPr>
            <w:tcW w:w="109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Medium</w:t>
            </w:r>
          </w:p>
        </w:tc>
        <w:tc>
          <w:tcPr>
            <w:tcW w:w="9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Medium</w:t>
            </w:r>
          </w:p>
        </w:tc>
        <w:tc>
          <w:tcPr>
            <w:tcW w:w="159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4"/>
              </w:rPr>
              <w:t>Escalate the approval request (owner unknown, TDD Section 3.7)</w:t>
            </w:r>
          </w:p>
        </w:tc>
      </w:tr>
    </w:tbl>
    <w:p>
      <w:pPr>
        <w:pStyle w:val="Normal"/>
        <w:spacing w:before="60" w:after="160"/>
        <w:rPr/>
      </w:pPr>
      <w:r>
        <w:rPr>
          <w:i/>
          <w:iCs/>
        </w:rPr>
        <w:t>Note. Every external interface in Section 8.3 should appear here or be explicitly judged low risk.</w:t>
      </w:r>
    </w:p>
    <w:p>
      <w:pPr>
        <w:pStyle w:val="Heading1"/>
        <w:rPr/>
      </w:pPr>
      <w:bookmarkStart w:id="186" w:name="__RefHeading___Toc10474_627777545"/>
      <w:bookmarkStart w:id="187" w:name="_Toc236656595"/>
      <w:bookmarkEnd w:id="186"/>
      <w:r>
        <w:rPr/>
        <w:t>14. Verification and Acceptance</w:t>
      </w:r>
      <w:bookmarkEnd w:id="187"/>
    </w:p>
    <w:p>
      <w:pPr>
        <w:pStyle w:val="Heading2"/>
        <w:rPr/>
      </w:pPr>
      <w:bookmarkStart w:id="188" w:name="__RefHeading___Toc10476_627777545"/>
      <w:bookmarkStart w:id="189" w:name="_Toc236656596"/>
      <w:bookmarkEnd w:id="188"/>
      <w:r>
        <w:rPr/>
        <w:t>14.1 Verification Methods</w:t>
      </w:r>
      <w:bookmarkEnd w:id="189"/>
    </w:p>
    <w:p>
      <w:pPr>
        <w:pStyle w:val="Normal"/>
        <w:spacing w:before="150" w:after="40"/>
        <w:rPr/>
      </w:pPr>
      <w:r>
        <w:rPr>
          <w:b/>
        </w:rPr>
        <w:t>Table 56</w:t>
      </w:r>
    </w:p>
    <w:p>
      <w:pPr>
        <w:pStyle w:val="Normal"/>
        <w:spacing w:before="0" w:after="80"/>
        <w:rPr/>
      </w:pPr>
      <w:r>
        <w:rPr>
          <w:i/>
          <w:iCs/>
        </w:rPr>
        <w:t>Verification Methods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500"/>
        <w:gridCol w:w="4900"/>
        <w:gridCol w:w="2960"/>
      </w:tblGrid>
      <w:tr>
        <w:trPr>
          <w:tblHeader w:val="true"/>
          <w:cantSplit w:val="true"/>
        </w:trPr>
        <w:tc>
          <w:tcPr>
            <w:tcW w:w="15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Method</w:t>
            </w:r>
          </w:p>
        </w:tc>
        <w:tc>
          <w:tcPr>
            <w:tcW w:w="49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Definition</w:t>
            </w:r>
          </w:p>
        </w:tc>
        <w:tc>
          <w:tcPr>
            <w:tcW w:w="29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Evidence produced</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Test</w:t>
            </w:r>
          </w:p>
        </w:tc>
        <w:tc>
          <w:tcPr>
            <w:tcW w:w="4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Executing the system against defined inputs and comparing to expected results</w:t>
            </w:r>
          </w:p>
        </w:tc>
        <w:tc>
          <w:tcPr>
            <w:tcW w:w="29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Test case result in the Test Report</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Demonstration</w:t>
            </w:r>
          </w:p>
        </w:tc>
        <w:tc>
          <w:tcPr>
            <w:tcW w:w="49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Operating the system in front of the client or instructor</w:t>
            </w:r>
          </w:p>
        </w:tc>
        <w:tc>
          <w:tcPr>
            <w:tcW w:w="29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Milestone presentation record</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Inspection</w:t>
            </w:r>
          </w:p>
        </w:tc>
        <w:tc>
          <w:tcPr>
            <w:tcW w:w="4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Examining code, configuration, or documents</w:t>
            </w:r>
          </w:p>
        </w:tc>
        <w:tc>
          <w:tcPr>
            <w:tcW w:w="29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Reviewer name, date, and finding</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Analysis</w:t>
            </w:r>
          </w:p>
        </w:tc>
        <w:tc>
          <w:tcPr>
            <w:tcW w:w="49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Reasoning from models, calculations, or measurements</w:t>
            </w:r>
          </w:p>
        </w:tc>
        <w:tc>
          <w:tcPr>
            <w:tcW w:w="29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Recorded calculation or measurement</w:t>
            </w:r>
          </w:p>
        </w:tc>
      </w:tr>
    </w:tbl>
    <w:p>
      <w:pPr>
        <w:pStyle w:val="Normal"/>
        <w:spacing w:before="60" w:after="160"/>
        <w:rPr/>
      </w:pPr>
      <w:r>
        <w:rPr>
          <w:i/>
          <w:iCs/>
        </w:rPr>
        <w:t>Note. Every requirement carries exactly one primary verification method. Prefer Test wherever a test is possible.</w:t>
      </w:r>
    </w:p>
    <w:p>
      <w:pPr>
        <w:pStyle w:val="Heading2"/>
        <w:rPr/>
      </w:pPr>
      <w:bookmarkStart w:id="190" w:name="__RefHeading___Toc10478_627777545"/>
      <w:bookmarkStart w:id="191" w:name="_Toc900000202"/>
      <w:bookmarkEnd w:id="190"/>
      <w:r>
        <w:rPr/>
        <w:t>14.2 The Rule of Verifiability</w:t>
      </w:r>
      <w:bookmarkEnd w:id="191"/>
    </w:p>
    <w:p>
      <w:pPr>
        <w:pStyle w:val="Normal"/>
        <w:rPr/>
      </w:pPr>
      <w:r>
        <w:rPr/>
        <w:t>An acceptance criterion that cannot be objectively measured or tested is invalid. ISO/IEC/IEEE 29148, Clause 5, defines the quality characteristics an individual requirement must satisfy, and verifiability is one of them: the requirement and its acceptance criteria must be written so that satisfaction can be proven by test, demonstration, inspection, or analysis within the resources this project has. A criterion nobody can measure cannot be passed or failed, so it cannot be traced to a test case, and the requirement it belongs to is unspecified in practice however well written it looks.</w:t>
      </w:r>
    </w:p>
    <w:p>
      <w:pPr>
        <w:pStyle w:val="Normal"/>
        <w:spacing w:before="150" w:after="40"/>
        <w:rPr/>
      </w:pPr>
      <w:r>
        <w:rPr>
          <w:b/>
        </w:rPr>
        <w:t>Table 57</w:t>
      </w:r>
    </w:p>
    <w:p>
      <w:pPr>
        <w:pStyle w:val="Normal"/>
        <w:spacing w:before="0" w:after="80"/>
        <w:rPr/>
      </w:pPr>
      <w:r>
        <w:rPr>
          <w:i/>
          <w:iCs/>
        </w:rPr>
        <w:t>Requirement Quality Criteria Applied in This Course</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500"/>
        <w:gridCol w:w="4200"/>
        <w:gridCol w:w="3660"/>
      </w:tblGrid>
      <w:tr>
        <w:trPr>
          <w:tblHeader w:val="true"/>
          <w:cantSplit w:val="true"/>
        </w:trPr>
        <w:tc>
          <w:tcPr>
            <w:tcW w:w="15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Criterion</w:t>
            </w:r>
          </w:p>
        </w:tc>
        <w:tc>
          <w:tcPr>
            <w:tcW w:w="42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What it requires</w:t>
            </w:r>
          </w:p>
        </w:tc>
        <w:tc>
          <w:tcPr>
            <w:tcW w:w="36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How it fails in practice</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Necessary</w:t>
            </w:r>
          </w:p>
        </w:tc>
        <w:tc>
          <w:tcPr>
            <w:tcW w:w="4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The requirement serves a stated need and removing it leaves a gap</w:t>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Requirement invented by the team with no entry in the source register</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Unambiguous</w:t>
            </w:r>
          </w:p>
        </w:tc>
        <w:tc>
          <w:tcPr>
            <w:tcW w:w="4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One reading only, for the client, the developer, and the tester</w:t>
            </w:r>
          </w:p>
        </w:tc>
        <w:tc>
          <w:tcPr>
            <w:tcW w:w="36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Words such as properly, appropriate, or as needed</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Complete</w:t>
            </w:r>
          </w:p>
        </w:tc>
        <w:tc>
          <w:tcPr>
            <w:tcW w:w="4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Stated fully, with no missing condition the reader must supply</w:t>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Behavior on invalid input or dependency failure left unwritten</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Singular</w:t>
            </w:r>
          </w:p>
        </w:tc>
        <w:tc>
          <w:tcPr>
            <w:tcW w:w="4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One obligation per statement</w:t>
            </w:r>
          </w:p>
        </w:tc>
        <w:tc>
          <w:tcPr>
            <w:tcW w:w="36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 shall statement joined by and or or that hides two requirements</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Feasible</w:t>
            </w:r>
          </w:p>
        </w:tc>
        <w:tc>
          <w:tcPr>
            <w:tcW w:w="4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Achievable within the increment, the platform, and the team capacity</w:t>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 requirement no one on the team knows how to build or measure</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Verifiable</w:t>
            </w:r>
          </w:p>
        </w:tc>
        <w:tc>
          <w:tcPr>
            <w:tcW w:w="4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Satisfaction provable by test, demonstration, inspection, or analysis</w:t>
            </w:r>
          </w:p>
        </w:tc>
        <w:tc>
          <w:tcPr>
            <w:tcW w:w="36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An acceptance criterion with no observable threshold, state, or message</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Correct</w:t>
            </w:r>
          </w:p>
        </w:tc>
        <w:tc>
          <w:tcPr>
            <w:tcW w:w="4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An accurate statement of the need it came from</w:t>
            </w:r>
          </w:p>
        </w:tc>
        <w:tc>
          <w:tcPr>
            <w:tcW w:w="36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Requirement drifted from the client request it cites</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Conforming</w:t>
            </w:r>
          </w:p>
        </w:tc>
        <w:tc>
          <w:tcPr>
            <w:tcW w:w="4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Written in the form this template prescribes</w:t>
            </w:r>
          </w:p>
        </w:tc>
        <w:tc>
          <w:tcPr>
            <w:tcW w:w="36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Requirement that is not a shall statement, or that carries no acceptance criterion</w:t>
            </w:r>
          </w:p>
        </w:tc>
      </w:tr>
    </w:tbl>
    <w:p>
      <w:pPr>
        <w:pStyle w:val="Normal"/>
        <w:spacing w:before="60" w:after="160"/>
        <w:rPr/>
      </w:pPr>
      <w:r>
        <w:rPr>
          <w:i/>
          <w:iCs/>
        </w:rPr>
        <w:t>Note. Verifiability is the criterion this course grades hardest, because it is the one the Software Test Plan and the Test Report depend on. A requirement that cannot be verified cannot be closed.</w:t>
      </w:r>
    </w:p>
    <w:p>
      <w:pPr>
        <w:pStyle w:val="Heading2"/>
        <w:rPr/>
      </w:pPr>
      <w:bookmarkStart w:id="192" w:name="__RefHeading___Toc10480_627777545"/>
      <w:bookmarkStart w:id="193" w:name="_Toc900000203"/>
      <w:bookmarkEnd w:id="192"/>
      <w:r>
        <w:rPr/>
        <w:t>14.3 SMART Acceptance Criteria</w:t>
      </w:r>
      <w:bookmarkEnd w:id="193"/>
    </w:p>
    <w:p>
      <w:pPr>
        <w:pStyle w:val="Normal"/>
        <w:rPr/>
      </w:pPr>
      <w:r>
        <w:rPr/>
        <w:t>Every acceptance criterion in this document shall satisfy the SMART framework in addition to the Given, When, Then form. This is a requirement of the template, not a recommendation. Apply the test in Table 58 to each criterion before submission.</w:t>
      </w:r>
    </w:p>
    <w:p>
      <w:pPr>
        <w:pStyle w:val="Normal"/>
        <w:spacing w:before="150" w:after="40"/>
        <w:rPr/>
      </w:pPr>
      <w:r>
        <w:rPr>
          <w:b/>
        </w:rPr>
        <w:t>Table 58</w:t>
      </w:r>
    </w:p>
    <w:p>
      <w:pPr>
        <w:pStyle w:val="Normal"/>
        <w:spacing w:before="0" w:after="80"/>
        <w:rPr/>
      </w:pPr>
      <w:r>
        <w:rPr>
          <w:i/>
          <w:iCs/>
        </w:rPr>
        <w:t>SMART Test Applied to an Acceptance Criterion</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500"/>
        <w:gridCol w:w="4100"/>
        <w:gridCol w:w="3760"/>
      </w:tblGrid>
      <w:tr>
        <w:trPr>
          <w:tblHeader w:val="true"/>
          <w:cantSplit w:val="true"/>
        </w:trPr>
        <w:tc>
          <w:tcPr>
            <w:tcW w:w="15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Element</w:t>
            </w:r>
          </w:p>
        </w:tc>
        <w:tc>
          <w:tcPr>
            <w:tcW w:w="41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What it requires of the criterion</w:t>
            </w:r>
          </w:p>
        </w:tc>
        <w:tc>
          <w:tcPr>
            <w:tcW w:w="37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Question the writer must answer</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Specific</w:t>
            </w:r>
          </w:p>
        </w:tc>
        <w:tc>
          <w:tcPr>
            <w:tcW w:w="4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Names the actor, the action, and the object, with one condition per criterion</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Who does what, to what?</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Measurable</w:t>
            </w:r>
          </w:p>
        </w:tc>
        <w:tc>
          <w:tcPr>
            <w:tcW w:w="41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States a value, count, threshold, state, message, or identifier that an observer can record</w:t>
            </w:r>
          </w:p>
        </w:tc>
        <w:tc>
          <w:tcPr>
            <w:tcW w:w="37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What number, state, or message proves it passed?</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Achievable</w:t>
            </w:r>
          </w:p>
        </w:tc>
        <w:tc>
          <w:tcPr>
            <w:tcW w:w="4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Satisfiable by the increment being delivered, on the target platform, with the team resources</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Can the code in this milestone actually meet it?</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Relevant</w:t>
            </w:r>
          </w:p>
        </w:tc>
        <w:tc>
          <w:tcPr>
            <w:tcW w:w="41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Traces to exactly one requirement, which traces to a named source</w:t>
            </w:r>
          </w:p>
        </w:tc>
        <w:tc>
          <w:tcPr>
            <w:tcW w:w="37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Which REQ identifier and which source does it serve?</w:t>
            </w:r>
          </w:p>
        </w:tc>
      </w:tr>
      <w:tr>
        <w:trPr>
          <w:cantSplit w:val="true"/>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Time-bound</w:t>
            </w:r>
          </w:p>
        </w:tc>
        <w:tc>
          <w:tcPr>
            <w:tcW w:w="4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States when the result must be observable: a response budget, an elapsed interval, or the milestone in which it is verified</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By when, or within what elapsed time?</w:t>
            </w:r>
          </w:p>
        </w:tc>
      </w:tr>
    </w:tbl>
    <w:p>
      <w:pPr>
        <w:pStyle w:val="Normal"/>
        <w:spacing w:before="60" w:after="160"/>
        <w:rPr/>
      </w:pPr>
      <w:r>
        <w:rPr>
          <w:i/>
          <w:iCs/>
        </w:rPr>
        <w:t>Note. Time-bound does not always mean a response time. For a functional criterion it is usually the performance budget from Section 11.1 or the milestone in which the criterion is verified. State one or the other.</w:t>
      </w:r>
    </w:p>
    <w:p>
      <w:pPr>
        <w:pStyle w:val="Normal"/>
        <w:spacing w:before="150" w:after="40"/>
        <w:rPr/>
      </w:pPr>
      <w:r>
        <w:rPr>
          <w:b/>
        </w:rPr>
        <w:t>Table 59</w:t>
      </w:r>
    </w:p>
    <w:p>
      <w:pPr>
        <w:pStyle w:val="Normal"/>
        <w:spacing w:before="0" w:after="80"/>
        <w:rPr/>
      </w:pPr>
      <w:r>
        <w:rPr>
          <w:i/>
          <w:iCs/>
        </w:rPr>
        <w:t>Non-Verifiable and Verifiable Acceptance Criteria</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3100"/>
        <w:gridCol w:w="2399"/>
        <w:gridCol w:w="3861"/>
      </w:tblGrid>
      <w:tr>
        <w:trPr>
          <w:tblHeader w:val="true"/>
          <w:cantSplit w:val="true"/>
        </w:trPr>
        <w:tc>
          <w:tcPr>
            <w:tcW w:w="31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Non-verifiable Then clause</w:t>
            </w:r>
          </w:p>
        </w:tc>
        <w:tc>
          <w:tcPr>
            <w:tcW w:w="23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Why it fails</w:t>
            </w:r>
          </w:p>
        </w:tc>
        <w:tc>
          <w:tcPr>
            <w:tcW w:w="386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Verifiable rewrite</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Then the dashboard loads quickly</w:t>
            </w:r>
          </w:p>
        </w:tc>
        <w:tc>
          <w:tcPr>
            <w:tcW w:w="2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No threshold, and quickly is subjective</w:t>
            </w:r>
          </w:p>
        </w:tc>
        <w:tc>
          <w:tcPr>
            <w:tcW w:w="38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Then the dashboard renders all caregiver cards within 2 seconds at the 95th percentile on the reference device</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Then the app handles errors properly</w:t>
            </w:r>
          </w:p>
        </w:tc>
        <w:tc>
          <w:tcPr>
            <w:tcW w:w="23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Neither the error nor the behavior is named</w:t>
            </w:r>
          </w:p>
        </w:tc>
        <w:tc>
          <w:tcPr>
            <w:tcW w:w="386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Then the app displays ERR-014 with the message Connection lost, retrying, and retries three times at 5 second intervals</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Then the user can easily find the medication list</w:t>
            </w:r>
          </w:p>
        </w:tc>
        <w:tc>
          <w:tcPr>
            <w:tcW w:w="2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No actor and no observable result</w:t>
            </w:r>
          </w:p>
        </w:tc>
        <w:tc>
          <w:tcPr>
            <w:tcW w:w="38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Then the caregiver reaches the medication list from the home screen in no more than two taps</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Then data is secure</w:t>
            </w:r>
          </w:p>
        </w:tc>
        <w:tc>
          <w:tcPr>
            <w:tcW w:w="23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Not singular, not measurable, traceable to nothing</w:t>
            </w:r>
          </w:p>
        </w:tc>
        <w:tc>
          <w:tcPr>
            <w:tcW w:w="386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Then the record is stored encrypted with AES-256, and a query run by an unauthorized role returns no rows</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Then the system is available most of the time</w:t>
            </w:r>
          </w:p>
        </w:tc>
        <w:tc>
          <w:tcPr>
            <w:tcW w:w="2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No measure and no period</w:t>
            </w:r>
          </w:p>
        </w:tc>
        <w:tc>
          <w:tcPr>
            <w:tcW w:w="386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Then the monitoring dashboard reports 99.5 percent or higher uptime for the calendar month</w:t>
            </w:r>
          </w:p>
        </w:tc>
      </w:tr>
    </w:tbl>
    <w:p>
      <w:pPr>
        <w:pStyle w:val="Normal"/>
        <w:spacing w:before="60" w:after="160"/>
        <w:rPr/>
      </w:pPr>
      <w:r>
        <w:rPr>
          <w:i/>
          <w:iCs/>
        </w:rPr>
        <w:t>Note. Every rewrite in the right column can be handed to a tester who has never seen the code, and that tester can write a pass or fail result without asking the team what was meant.</w:t>
      </w:r>
    </w:p>
    <w:p>
      <w:pPr>
        <w:pStyle w:val="Normal"/>
        <w:rPr/>
      </w:pPr>
      <w:r>
        <w:rPr/>
        <w:t>The following words are not permitted in a Then clause, because none of them can be measured: quickly, fast, easily, properly, correctly, efficiently, seamlessly, intuitively, user friendly, robust, adequate, sufficient, appropriate, reasonable, as needed, and if possible. If a criterion needs one of these words to make sense, it has not been specified yet.</w:t>
      </w:r>
    </w:p>
    <w:p>
      <w:pPr>
        <w:pStyle w:val="Normal"/>
        <w:rPr/>
      </w:pPr>
      <w:r>
        <w:rPr/>
        <w:t>Grading impact. Acceptance criteria are graded for verifiability, not only for presence. An acceptance criterion that fails the test in Table 58 is scored as missing, and a requirement whose acceptance criteria are all non-verifiable is graded as unspecified, with its traceability row counted as uncovered. A criterion flagged as non-verifiable at one milestone and resubmitted unchanged costs points again at every milestone in which it reappears.</w:t>
      </w:r>
    </w:p>
    <w:p>
      <w:pPr>
        <w:pStyle w:val="Normal"/>
        <w:rPr/>
      </w:pPr>
      <w:r>
        <w:rPr/>
        <w:t>Before submitting, check each acceptance criterion against the following:</w:t>
      </w:r>
    </w:p>
    <w:p>
      <w:pPr>
        <w:pStyle w:val="ListParagraph"/>
        <w:numPr>
          <w:ilvl w:val="0"/>
          <w:numId w:val="18"/>
        </w:numPr>
        <w:spacing w:before="0" w:after="60"/>
        <w:rPr/>
      </w:pPr>
      <w:r>
        <w:rPr/>
        <w:t>Can a tester who has never met the team decide pass or fail from the Then clause alone?</w:t>
      </w:r>
    </w:p>
    <w:p>
      <w:pPr>
        <w:pStyle w:val="ListParagraph"/>
        <w:numPr>
          <w:ilvl w:val="0"/>
          <w:numId w:val="19"/>
        </w:numPr>
        <w:spacing w:before="0" w:after="60"/>
        <w:rPr/>
      </w:pPr>
      <w:r>
        <w:rPr/>
        <w:t>Is there a number, a state, a message, or an identifier in the Then clause?</w:t>
      </w:r>
    </w:p>
    <w:p>
      <w:pPr>
        <w:pStyle w:val="ListParagraph"/>
        <w:numPr>
          <w:ilvl w:val="0"/>
          <w:numId w:val="20"/>
        </w:numPr>
        <w:spacing w:before="0" w:after="60"/>
        <w:rPr/>
      </w:pPr>
      <w:r>
        <w:rPr/>
        <w:t>Does the criterion test one thing, not three?</w:t>
      </w:r>
    </w:p>
    <w:p>
      <w:pPr>
        <w:pStyle w:val="ListParagraph"/>
        <w:numPr>
          <w:ilvl w:val="0"/>
          <w:numId w:val="21"/>
        </w:numPr>
        <w:spacing w:before="0" w:after="60"/>
        <w:rPr/>
      </w:pPr>
      <w:r>
        <w:rPr/>
        <w:t>Does it name a test case identifier, or state that the test case is not yet written?</w:t>
      </w:r>
    </w:p>
    <w:p>
      <w:pPr>
        <w:pStyle w:val="ListParagraph"/>
        <w:numPr>
          <w:ilvl w:val="0"/>
          <w:numId w:val="22"/>
        </w:numPr>
        <w:spacing w:before="0" w:after="60"/>
        <w:rPr/>
      </w:pPr>
      <w:r>
        <w:rPr/>
        <w:t>Does it avoid every word in the prohibited list above?</w:t>
      </w:r>
    </w:p>
    <w:p>
      <w:pPr>
        <w:pStyle w:val="Heading2"/>
        <w:rPr/>
      </w:pPr>
      <w:bookmarkStart w:id="194" w:name="__RefHeading___Toc10482_627777545"/>
      <w:bookmarkStart w:id="195" w:name="_Toc236656597"/>
      <w:bookmarkEnd w:id="194"/>
      <w:r>
        <w:rPr/>
        <w:t>14.4 Acceptance Criteria Convention</w:t>
      </w:r>
      <w:bookmarkEnd w:id="195"/>
    </w:p>
    <w:p>
      <w:pPr>
        <w:pStyle w:val="Normal"/>
        <w:rPr/>
      </w:pPr>
      <w:r>
        <w:rPr/>
        <w:t>Acceptance criteria are written as Given, When, Then, and every criterion must also pass the SMART test in Section 14.3 and the rule of verifiability in Section 14.2. The Then clause must be observable and measurable by someone who did not write the code.</w:t>
      </w:r>
    </w:p>
    <w:p>
      <w:pPr>
        <w:pStyle w:val="Heading2"/>
        <w:rPr/>
      </w:pPr>
      <w:bookmarkStart w:id="196" w:name="__RefHeading___Toc10484_627777545"/>
      <w:bookmarkStart w:id="197" w:name="_Toc236656598"/>
      <w:bookmarkEnd w:id="196"/>
      <w:r>
        <w:rPr/>
        <w:t>14.5 Definition of Verified</w:t>
      </w:r>
      <w:bookmarkEnd w:id="197"/>
    </w:p>
    <w:p>
      <w:pPr>
        <w:pStyle w:val="Normal"/>
        <w:rPr/>
      </w:pPr>
      <w:r>
        <w:rPr/>
        <w:t>A requirement reaches status Verified only when its acceptance criteria have passing test results recorded in the Test Report for the current build, and the test case identifiers appear in the traceability matrix. Passing on a developer machine is not verification.</w:t>
      </w:r>
    </w:p>
    <w:p>
      <w:pPr>
        <w:pStyle w:val="Heading2"/>
        <w:rPr/>
      </w:pPr>
      <w:bookmarkStart w:id="198" w:name="__RefHeading___Toc10486_627777545"/>
      <w:bookmarkStart w:id="199" w:name="_Toc236656599"/>
      <w:bookmarkEnd w:id="198"/>
      <w:r>
        <w:rPr/>
        <w:t>14.6 Client Acceptance</w:t>
      </w:r>
      <w:bookmarkEnd w:id="199"/>
    </w:p>
    <w:p>
      <w:pPr>
        <w:pStyle w:val="Normal"/>
        <w:rPr/>
      </w:pPr>
      <w:r>
        <w:rPr/>
        <w:t>The course instructors, acting as client/product owner, accept each increment at the milestone review (Table 3, Section 1.7). For Milestone 1, acceptance covers the demonstration described in Section 5.1: every team member's local environment plus the architecture and Blue Button feasibility artifacts, not a working Medicare feature. A rejected requirement is returned to Proposed status (Table 20) and logged in the Requirements Change Log (Section 4.5) at the next milestone.</w:t>
      </w:r>
    </w:p>
    <w:p>
      <w:pPr>
        <w:pStyle w:val="Heading1"/>
        <w:rPr/>
      </w:pPr>
      <w:bookmarkStart w:id="200" w:name="__RefHeading___Toc10488_627777545"/>
      <w:bookmarkStart w:id="201" w:name="_Toc236656600"/>
      <w:bookmarkEnd w:id="200"/>
      <w:r>
        <w:rPr/>
        <w:t>15. Requirements Traceability</w:t>
      </w:r>
      <w:bookmarkEnd w:id="201"/>
    </w:p>
    <w:p>
      <w:pPr>
        <w:pStyle w:val="Heading2"/>
        <w:rPr/>
      </w:pPr>
      <w:bookmarkStart w:id="202" w:name="__RefHeading___Toc10490_627777545"/>
      <w:bookmarkStart w:id="203" w:name="_Toc236656601"/>
      <w:bookmarkEnd w:id="202"/>
      <w:r>
        <w:rPr/>
        <w:t>15.1 Traceability Matrix</w:t>
      </w:r>
      <w:bookmarkEnd w:id="203"/>
    </w:p>
    <w:p>
      <w:pPr>
        <w:pStyle w:val="Normal"/>
        <w:spacing w:before="150" w:after="40"/>
        <w:rPr/>
      </w:pPr>
      <w:r>
        <w:rPr>
          <w:b/>
        </w:rPr>
        <w:t>Table 60</w:t>
      </w:r>
    </w:p>
    <w:p>
      <w:pPr>
        <w:pStyle w:val="Normal"/>
        <w:spacing w:before="0" w:after="80"/>
        <w:rPr/>
      </w:pPr>
      <w:r>
        <w:rPr>
          <w:i/>
          <w:iCs/>
        </w:rPr>
        <w:t>Requirements Traceability Matrix</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862"/>
        <w:gridCol w:w="2306"/>
        <w:gridCol w:w="546"/>
        <w:gridCol w:w="462"/>
        <w:gridCol w:w="431"/>
        <w:gridCol w:w="648"/>
        <w:gridCol w:w="1370"/>
        <w:gridCol w:w="1080"/>
        <w:gridCol w:w="936"/>
        <w:gridCol w:w="718"/>
      </w:tblGrid>
      <w:tr>
        <w:trPr>
          <w:tblHeader w:val="true"/>
          <w:cantSplit w:val="true"/>
        </w:trPr>
        <w:tc>
          <w:tcPr>
            <w:tcW w:w="86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REQ ID</w:t>
            </w:r>
          </w:p>
        </w:tc>
        <w:tc>
          <w:tcPr>
            <w:tcW w:w="23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Summary</w:t>
            </w:r>
          </w:p>
        </w:tc>
        <w:tc>
          <w:tcPr>
            <w:tcW w:w="54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Source</w:t>
            </w:r>
          </w:p>
        </w:tc>
        <w:tc>
          <w:tcPr>
            <w:tcW w:w="46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Pri</w:t>
            </w:r>
          </w:p>
        </w:tc>
        <w:tc>
          <w:tcPr>
            <w:tcW w:w="43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MS</w:t>
            </w:r>
          </w:p>
        </w:tc>
        <w:tc>
          <w:tcPr>
            <w:tcW w:w="64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Design ref</w:t>
            </w:r>
          </w:p>
        </w:tc>
        <w:tc>
          <w:tcPr>
            <w:tcW w:w="137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Code ref</w:t>
            </w:r>
          </w:p>
        </w:tc>
        <w:tc>
          <w:tcPr>
            <w:tcW w:w="108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AC ID</w:t>
            </w:r>
          </w:p>
        </w:tc>
        <w:tc>
          <w:tcPr>
            <w:tcW w:w="93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Test case</w:t>
            </w:r>
          </w:p>
        </w:tc>
        <w:tc>
          <w:tcPr>
            <w:tcW w:w="71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Status</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FR-MCR-01</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redirect the user to the Medicare-hosted…</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SRC-01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MCR-01-1, MCR-01-2</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20.1, 20.2</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FR-MCR-02</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exchange the authorization response returned by…</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SRC-01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MCR-02-1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20.3</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FR-MCR-03</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persist the issued access token and set the…</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SRC-01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MCR-03-1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20.4</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FR-MCR-04</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display a Medicare account connected…</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SRC-01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MCR-04-1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20.5</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FR-MCR-05</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When the Medicare authorization callback reports that the user…</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MCR-05-1, MCR-05-2</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20.6, 20.7</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FR-MCR-06</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allow the user to abandon the linking flow…</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Should</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MCR-06-1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20.8</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FR-MCR-07</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If the Medicare authentication endpoint does not respond within…</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MCR-07-1, MCR-07-2</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20.10, 20.9</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FR-MCR-08</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If the token exchange request returns an error response, the…</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MCR-08-1, MCR-08-2</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20.11, 20.12</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FR-MCR-09</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When a stored access token is rejected by Medicare as expired or…</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MCR-09-1, MCR-09-2</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20.13, 20.14</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FR-MCR-10</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allow a patient to unlink their Medicare account.</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MCR-10-1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20.15</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FR-MCR-11</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On unlink, the system shall delete the stored access token and…</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MCR-11-1, MCR-11-2</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20.16, 20.17</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FR-MCR-12</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require the patient to re-authenticate with…</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SRC-01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Should</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M2</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M2 feature, not started</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FR-MCR-25</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display a loading indicator while a Medicare…</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MCR-25-1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20.18</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FR-MCR-26</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When the device has no network connection, the system shall not…</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MCR-26-1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20.19</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FR-MCR-13</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retrieve the linked beneficiary's Medicare visit…</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SRC-01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MCR-13-1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21.1</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FR-MCR-14</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retrieve the linked beneficiary's Medicare…</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SRC-01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MCR-14-1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21.2</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FR-MCR-15</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store retrieved Medicare records in a structure…</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SRC-01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Should</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M2</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M2 feature, not started</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FR-MCR-16</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enforce, in the backend on every request, that a…</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SRC-01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MCR-16-1, MCR-16-2</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24.1, 24.2</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FR-MCR-17</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reject a request for Medicare data belonging to…</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MCR-17-1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24.3</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FR-MCR-18</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scope every stored and returned Medicare record…</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MCR-18-1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24.4</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FR-MCR-19</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persist retrieved Medicare records so that they…</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SRC-01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MCR-19-1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21.3</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FR-MCR-20</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On opening the Medicare records screen, the system shall render…</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MCR-20-1, MCR-20-2</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21.4, 21.5</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FR-MCR-21</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display, on the Medicare records screen, the…</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MCR-21-1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21.6</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FR-MCR-22</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initiate a refresh when the stored records are…</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Should</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MCR-22-1, MCR-22-2</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21.7, 21.8</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FR-MCR-23</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If a Medicare data request returns a rate-limit response…</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Should</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MCR-23-1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21.9</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FR-MCR-24</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If a Medicare data request has not succeeded after the permitted…</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MCR-24-1, MCR-24-2</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21.10, 21.11</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FR-MCR-27</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display a loading state on the Medicare records…</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MCR-27-1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21.12</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FR-MCR-28</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When a patient's Medicare account is Linked and Medicare returns…</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MCR-28-1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21.13</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FR-MCR-29</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When the device has no network connection, the system shall…</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§6.2</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MCR-29-1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21.14</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FR-XSRC-01</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identify two records from different sources as…</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SRC-01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M2</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§6.3</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M2 feature, not started</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XSRC-01-1, XSRC-01-2</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22.1, 22.2</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FR-XSRC-02</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display two records matching per FR-XSRC-01 that…</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SRC-01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M2</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§6.3</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M2 feature, not started</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XSRC-02-1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22.3</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FR-XSRC-03</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When two records match per FR-XSRC-01 but differ on one or more…</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SRC-01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M2</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§6.3</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M2 feature, not started</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XSRC-03-1, XSRC-03-2</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22.4, 22.5</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FR-XSRC-04</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not merge two records that differ on provider,…</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M2</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§6.3</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M2 feature, not started</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XSRC-04-1, XSRC-04-2</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22.6, 22.7</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FR-XSRC-05</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When a peer source is unavailable during comparison, the system…</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M2</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§6.3</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M2 feature, not started</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XSRC-05-1, XSRC-05-2</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22.8, 22.9</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FR-XSRC-06</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display a visit returned by only one source as a…</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Should</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M2</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§6.3</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M2 feature, not started</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XSRC-06-1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22.10</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FR-XSRC-07</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display a loading state while cross-source…</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M2</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§6.3</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M2 feature, not started</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XSRC-07-1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22.11</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FR-XSRC-08</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When no peer source has returned data for the patient, the system…</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M2</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§6.3</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M2 feature, not started</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XSRC-08-1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22.12</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FR-XSRC-09</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When the device has no network connection, the system shall…</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Should</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M2</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§6.3</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M2 feature, not started</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NFR-SEC-01</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CareConnect shall not collect, transmit, log, or persist a user's…</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SRC-01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§11.5</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NFR-SEC-02</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store Medicare access tokens encrypted at rest.</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§11.5</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NFR-SEC-03</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not return a Medicare access token to any…</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§11.5</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NFR-ACC-01</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Every interactive element on the Medicare linking, records, and…</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§11.7</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NFR-ACC-02</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On return from the Medicare-hosted authentication page, the…</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§11.7</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NFR-ACC-03</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system shall convey delta status by text or by an icon with a…</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M2</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§11.7</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M2 feature, not started</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NFR-ACC-04</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Every error state on the three Medicare screens shall identify…</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§11.7</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NFR-ACC-05</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Text on the three Medicare screens shall meet a contrast ratio of…</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§11.7</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NFR-ACC-06</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three Medicare screens shall remain fully operable with text…</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CRS-01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Must</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§11.7</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yet</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r>
        <w:trPr>
          <w:cantSplit w:val="true"/>
        </w:trPr>
        <w:tc>
          <w:tcPr>
            <w:tcW w:w="8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NFR-PERF-01</w:t>
            </w:r>
          </w:p>
        </w:tc>
        <w:tc>
          <w:tcPr>
            <w:tcW w:w="230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The Medicare records screen shall render stored records within…</w:t>
            </w:r>
          </w:p>
        </w:tc>
        <w:tc>
          <w:tcPr>
            <w:tcW w:w="54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TEAM-01</w:t>
            </w:r>
          </w:p>
        </w:tc>
        <w:tc>
          <w:tcPr>
            <w:tcW w:w="46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Should</w:t>
            </w:r>
          </w:p>
        </w:tc>
        <w:tc>
          <w:tcPr>
            <w:tcW w:w="43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M1</w:t>
            </w:r>
          </w:p>
        </w:tc>
        <w:tc>
          <w:tcPr>
            <w:tcW w:w="64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§11.1</w:t>
            </w:r>
          </w:p>
        </w:tc>
        <w:tc>
          <w:tcPr>
            <w:tcW w:w="137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None — M1 is architecture and Blue Button feasibility only</w:t>
            </w:r>
          </w:p>
        </w:tc>
        <w:tc>
          <w:tcPr>
            <w:tcW w:w="10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PERF-01-1</w:t>
            </w:r>
          </w:p>
        </w:tc>
        <w:tc>
          <w:tcPr>
            <w:tcW w:w="936"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21.15</w:t>
            </w:r>
          </w:p>
        </w:tc>
        <w:tc>
          <w:tcPr>
            <w:tcW w:w="71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2"/>
              </w:rPr>
              <w:t>Proposed</w:t>
            </w:r>
          </w:p>
        </w:tc>
      </w:tr>
    </w:tbl>
    <w:p>
      <w:pPr>
        <w:pStyle w:val="Normal"/>
        <w:spacing w:before="60" w:after="160"/>
        <w:rPr/>
      </w:pPr>
      <w:r>
        <w:rPr>
          <w:i/>
        </w:rPr>
        <w:t>Note. This is the complete matrix for all 48 current FR/NFR requirements (Section 4.1's eleven attributes are split across this table, Section 6/7/11's requirement tables, and the Acceptance Criteria data behind them: Trace = the Design ref/Code ref/AC ID/Test case columns here). AC ID and Test case abbreviate the "AC-" and "TC-" prefixes to save width. Bracket markers such as [TBD-01] inside a Summary cell are the requirements workbook's own unresolved-detail notation, carried over verbatim; they are not unfilled template placeholders. Degraded-mode requirements (Table 52, Section 11.12) are derived from the FR-MCR/FR-XSRC rows below and are not repeated here to avoid double-counting. Appendix E points back to this table rather than duplicating it.</w:t>
      </w:r>
    </w:p>
    <w:p>
      <w:pPr>
        <w:pStyle w:val="Heading2"/>
        <w:rPr/>
      </w:pPr>
      <w:bookmarkStart w:id="204" w:name="__RefHeading___Toc10492_627777545"/>
      <w:bookmarkStart w:id="205" w:name="_Toc236656602"/>
      <w:bookmarkEnd w:id="204"/>
      <w:r>
        <w:rPr/>
        <w:t>15.2 Coverage Summary</w:t>
      </w:r>
      <w:bookmarkEnd w:id="205"/>
    </w:p>
    <w:p>
      <w:pPr>
        <w:pStyle w:val="Normal"/>
        <w:spacing w:before="150" w:after="40"/>
        <w:rPr/>
      </w:pPr>
      <w:r>
        <w:rPr>
          <w:b/>
        </w:rPr>
        <w:t>Table 61</w:t>
      </w:r>
    </w:p>
    <w:p>
      <w:pPr>
        <w:pStyle w:val="Normal"/>
        <w:spacing w:before="0" w:after="80"/>
        <w:rPr/>
      </w:pPr>
      <w:r>
        <w:rPr>
          <w:i/>
          <w:iCs/>
        </w:rPr>
        <w:t>Requirement Coverage Summary</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199"/>
        <w:gridCol w:w="1101"/>
        <w:gridCol w:w="1200"/>
        <w:gridCol w:w="1399"/>
        <w:gridCol w:w="1200"/>
        <w:gridCol w:w="1102"/>
        <w:gridCol w:w="1158"/>
      </w:tblGrid>
      <w:tr>
        <w:trPr>
          <w:tblHeader w:val="true"/>
          <w:cantSplit w:val="true"/>
        </w:trPr>
        <w:tc>
          <w:tcPr>
            <w:tcW w:w="21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Category</w:t>
            </w:r>
          </w:p>
        </w:tc>
        <w:tc>
          <w:tcPr>
            <w:tcW w:w="11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Total</w:t>
            </w:r>
          </w:p>
        </w:tc>
        <w:tc>
          <w:tcPr>
            <w:tcW w:w="12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Verified</w:t>
            </w:r>
          </w:p>
        </w:tc>
        <w:tc>
          <w:tcPr>
            <w:tcW w:w="13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Implemented</w:t>
            </w:r>
          </w:p>
        </w:tc>
        <w:tc>
          <w:tcPr>
            <w:tcW w:w="12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Approved</w:t>
            </w:r>
          </w:p>
        </w:tc>
        <w:tc>
          <w:tcPr>
            <w:tcW w:w="110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Deferred</w:t>
            </w:r>
          </w:p>
        </w:tc>
        <w:tc>
          <w:tcPr>
            <w:tcW w:w="115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Percent verified</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Functional</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38</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0</w:t>
            </w:r>
          </w:p>
        </w:tc>
        <w:tc>
          <w:tcPr>
            <w:tcW w:w="1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0</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0</w:t>
            </w:r>
          </w:p>
        </w:tc>
        <w:tc>
          <w:tcPr>
            <w:tcW w:w="11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0</w:t>
            </w:r>
          </w:p>
        </w:tc>
        <w:tc>
          <w:tcPr>
            <w:tcW w:w="11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0%</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Non-functional</w:t>
            </w:r>
          </w:p>
        </w:tc>
        <w:tc>
          <w:tcPr>
            <w:tcW w:w="11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4</w:t>
            </w:r>
          </w:p>
        </w:tc>
        <w:tc>
          <w:tcPr>
            <w:tcW w:w="1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0</w:t>
            </w:r>
          </w:p>
        </w:tc>
        <w:tc>
          <w:tcPr>
            <w:tcW w:w="13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0</w:t>
            </w:r>
          </w:p>
        </w:tc>
        <w:tc>
          <w:tcPr>
            <w:tcW w:w="1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0</w:t>
            </w:r>
          </w:p>
        </w:tc>
        <w:tc>
          <w:tcPr>
            <w:tcW w:w="11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0</w:t>
            </w:r>
          </w:p>
        </w:tc>
        <w:tc>
          <w:tcPr>
            <w:tcW w:w="115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0%</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Accessibility</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6</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0</w:t>
            </w:r>
          </w:p>
        </w:tc>
        <w:tc>
          <w:tcPr>
            <w:tcW w:w="1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0</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0</w:t>
            </w:r>
          </w:p>
        </w:tc>
        <w:tc>
          <w:tcPr>
            <w:tcW w:w="11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0</w:t>
            </w:r>
          </w:p>
        </w:tc>
        <w:tc>
          <w:tcPr>
            <w:tcW w:w="11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7"/>
              </w:rPr>
              <w:t>0%</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AI related</w:t>
            </w:r>
          </w:p>
        </w:tc>
        <w:tc>
          <w:tcPr>
            <w:tcW w:w="11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0</w:t>
            </w:r>
          </w:p>
        </w:tc>
        <w:tc>
          <w:tcPr>
            <w:tcW w:w="1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0</w:t>
            </w:r>
          </w:p>
        </w:tc>
        <w:tc>
          <w:tcPr>
            <w:tcW w:w="13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0</w:t>
            </w:r>
          </w:p>
        </w:tc>
        <w:tc>
          <w:tcPr>
            <w:tcW w:w="1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0</w:t>
            </w:r>
          </w:p>
        </w:tc>
        <w:tc>
          <w:tcPr>
            <w:tcW w:w="11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0</w:t>
            </w:r>
          </w:p>
        </w:tc>
        <w:tc>
          <w:tcPr>
            <w:tcW w:w="115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7"/>
              </w:rPr>
              <w:t>N/A</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Total</w:t>
            </w:r>
          </w:p>
        </w:tc>
        <w:tc>
          <w:tcPr>
            <w:tcW w:w="11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i w:val="false"/>
                <w:sz w:val="17"/>
              </w:rPr>
              <w:t>48</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i w:val="false"/>
                <w:sz w:val="17"/>
              </w:rPr>
              <w:t>0</w:t>
            </w:r>
          </w:p>
        </w:tc>
        <w:tc>
          <w:tcPr>
            <w:tcW w:w="13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i w:val="false"/>
                <w:sz w:val="17"/>
              </w:rPr>
              <w:t>0</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i w:val="false"/>
                <w:sz w:val="17"/>
              </w:rPr>
              <w:t>0</w:t>
            </w:r>
          </w:p>
        </w:tc>
        <w:tc>
          <w:tcPr>
            <w:tcW w:w="11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i w:val="false"/>
                <w:sz w:val="17"/>
              </w:rPr>
              <w:t>0</w:t>
            </w:r>
          </w:p>
        </w:tc>
        <w:tc>
          <w:tcPr>
            <w:tcW w:w="115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i w:val="false"/>
                <w:sz w:val="17"/>
              </w:rPr>
              <w:t>0%</w:t>
            </w:r>
          </w:p>
        </w:tc>
      </w:tr>
    </w:tbl>
    <w:p>
      <w:pPr>
        <w:pStyle w:val="Normal"/>
        <w:spacing w:before="60" w:after="160"/>
        <w:rPr/>
      </w:pPr>
      <w:r>
        <w:rPr>
          <w:i/>
          <w:iCs/>
        </w:rPr>
        <w:t>Note. This table is the single clearest measure of progress between milestones. Reproduce it in the milestone presentation.</w:t>
      </w:r>
      <w:r>
        <w:rPr>
          <w:i/>
        </w:rPr>
        <w:t xml:space="preserve"> Every requirement in this draft carries Status = Proposed; the Deferred column above counts formal Status = Deferred entries (currently zero), which is a different thing from the 9 FR-XSRC requirements that are milestone-deferred to M2 (Section 5.2) while still Proposed. No AI-related requirements exist for this feature (Section 7).</w:t>
      </w:r>
    </w:p>
    <w:p>
      <w:pPr>
        <w:pStyle w:val="Heading2"/>
        <w:rPr/>
      </w:pPr>
      <w:bookmarkStart w:id="206" w:name="__RefHeading___Toc10494_627777545"/>
      <w:bookmarkStart w:id="207" w:name="_Toc236656603"/>
      <w:bookmarkEnd w:id="206"/>
      <w:r>
        <w:rPr/>
        <w:t>15.3 Requirements Without Coverage</w:t>
      </w:r>
      <w:bookmarkEnd w:id="207"/>
    </w:p>
    <w:p>
      <w:pPr>
        <w:pStyle w:val="Normal"/>
        <w:rPr/>
      </w:pPr>
      <w:r>
        <w:rPr/>
        <w:t>Every requirement in this draft has a Source (Section 3.3) and a Design ref (Section 15.1, derived programmatically from the Feature column), so neither gap exists. What does exist: 12 of the 48 requirements have no acceptance criteria and no test case in the workbook yet — FR-MCR-12, FR-MCR-15, FR-XSRC-09, and all six NFR-ACC and all three NFR-SEC requirements. These are documentation gaps to close before the AC set is considered complete, not requirements to withdraw: each already has an approved shall statement and a Milestone assignment. NFR-SEC and NFR-ACC criteria are the next AC-writing priority, since every other functional requirement already has at least one Given/When/Then criterion.</w:t>
      </w:r>
    </w:p>
    <w:p>
      <w:pPr>
        <w:pStyle w:val="Heading1"/>
        <w:rPr/>
      </w:pPr>
      <w:bookmarkStart w:id="208" w:name="__RefHeading___Toc10496_627777545"/>
      <w:bookmarkStart w:id="209" w:name="_Toc236656604"/>
      <w:bookmarkEnd w:id="208"/>
      <w:r>
        <w:rPr/>
        <w:t>16. Tool and AI Usage Disclosure</w:t>
      </w:r>
      <w:bookmarkEnd w:id="209"/>
    </w:p>
    <w:p>
      <w:pPr>
        <w:pStyle w:val="Normal"/>
        <w:rPr/>
      </w:pPr>
      <w:r>
        <w:rPr/>
        <w:t>UMGC policy permits the use of generative AI tools within an assignment's requirements and requires attribution. This section is that attribution. It covers tools used to produce this document and tools used to produce the software it describes.</w:t>
      </w:r>
    </w:p>
    <w:p>
      <w:pPr>
        <w:pStyle w:val="Normal"/>
        <w:spacing w:before="150" w:after="40"/>
        <w:rPr/>
      </w:pPr>
      <w:r>
        <w:rPr>
          <w:b/>
        </w:rPr>
        <w:t>Table 62</w:t>
      </w:r>
    </w:p>
    <w:p>
      <w:pPr>
        <w:pStyle w:val="Normal"/>
        <w:spacing w:before="0" w:after="80"/>
        <w:rPr/>
      </w:pPr>
      <w:r>
        <w:rPr>
          <w:i/>
          <w:iCs/>
        </w:rPr>
        <w:t>AI and Automated Tool Usage Disclosure</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900"/>
        <w:gridCol w:w="2600"/>
        <w:gridCol w:w="1800"/>
        <w:gridCol w:w="2098"/>
        <w:gridCol w:w="962"/>
      </w:tblGrid>
      <w:tr>
        <w:trPr>
          <w:tblHeader w:val="true"/>
          <w:cantSplit w:val="true"/>
        </w:trPr>
        <w:tc>
          <w:tcPr>
            <w:tcW w:w="19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Tool and version</w:t>
            </w:r>
          </w:p>
        </w:tc>
        <w:tc>
          <w:tcPr>
            <w:tcW w:w="26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Used for</w:t>
            </w:r>
          </w:p>
        </w:tc>
        <w:tc>
          <w:tcPr>
            <w:tcW w:w="18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Artifacts affected</w:t>
            </w:r>
          </w:p>
        </w:tc>
        <w:tc>
          <w:tcPr>
            <w:tcW w:w="20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Human verification performed</w:t>
            </w:r>
          </w:p>
        </w:tc>
        <w:tc>
          <w:tcPr>
            <w:tcW w:w="96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By whom</w:t>
            </w:r>
          </w:p>
        </w:tc>
      </w:tr>
      <w:tr>
        <w:trPr>
          <w:cantSplit w:val="true"/>
        </w:trPr>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Claude (Anthropic); session model identifier claude-sonnet-5, accessed through the Claude/Cowork interface</w:t>
            </w:r>
          </w:p>
        </w:tc>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Drafting section prose; writing the Python/python-docx scripts that populate tables from the team's own requirements workbook data; generating the matplotlib diagrams (Figures 1–7); cross-reference and consistency checking (ID formats, OQ numbering, milestone tags)</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This entire SRS (Sections 1–17, Appendices A–G)</w:t>
            </w:r>
          </w:p>
        </w:tc>
        <w:tc>
          <w:tcPr>
            <w:tcW w:w="20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Every populated table was generated from the pickled requirements workbook export rather than typed from memory, so table content matches its source by construction. Rendered pages were converted to PDF and reviewed visually and by text extraction after every build stage to catch unfilled placeholders, mis-mapped rows, and broken cross-references (three such defects were found and fixed this way in Sections 11–15 alone). Every open conflict between sources (Section 3.5) was flagged rather than resolved by the tool.</w:t>
            </w:r>
          </w:p>
        </w:tc>
        <w:tc>
          <w:tcPr>
            <w:tcW w:w="9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Rich Galero</w:t>
            </w:r>
          </w:p>
        </w:tc>
      </w:tr>
      <w:tr>
        <w:trPr>
          <w:cantSplit w:val="true"/>
        </w:trPr>
        <w:tc>
          <w:tcPr>
            <w:tcW w:w="19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LibreOffice (headless), poppler-utils (pdftoppm, pdftotext)</w:t>
            </w:r>
          </w:p>
        </w:tc>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Non-generative verification tooling: rendering each draft to PDF and extracting page images and text for review; not used to produce document content</w:t>
            </w:r>
          </w:p>
        </w:tc>
        <w:tc>
          <w:tcPr>
            <w:tcW w:w="18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Verification only; no artifact content originates here</w:t>
            </w:r>
          </w:p>
        </w:tc>
        <w:tc>
          <w:tcPr>
            <w:tcW w:w="20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N/A — verification tool, not a content source</w:t>
            </w:r>
          </w:p>
        </w:tc>
        <w:tc>
          <w:tcPr>
            <w:tcW w:w="9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Rich Galero</w:t>
            </w:r>
          </w:p>
        </w:tc>
      </w:tr>
    </w:tbl>
    <w:p>
      <w:pPr>
        <w:pStyle w:val="Normal"/>
        <w:spacing w:before="60" w:after="160"/>
        <w:rPr/>
      </w:pPr>
      <w:r>
        <w:rPr>
          <w:i/>
          <w:iCs/>
        </w:rPr>
        <w:t>Note. Assisted content is reviewed and verified by a named team member who remains accountable for its accuracy. Recall from Section 3.4 that a language model is never cited as the source of a requirement.</w:t>
      </w:r>
    </w:p>
    <w:p>
      <w:pPr>
        <w:pStyle w:val="Heading1"/>
        <w:rPr/>
      </w:pPr>
      <w:bookmarkStart w:id="210" w:name="__RefHeading___Toc10498_627777545"/>
      <w:bookmarkStart w:id="211" w:name="_Toc236656605"/>
      <w:bookmarkEnd w:id="210"/>
      <w:r>
        <w:rPr/>
        <w:t>17. Milestone Sign-Off</w:t>
      </w:r>
      <w:bookmarkEnd w:id="211"/>
    </w:p>
    <w:p>
      <w:pPr>
        <w:pStyle w:val="Normal"/>
        <w:spacing w:before="150" w:after="40"/>
        <w:rPr/>
      </w:pPr>
      <w:r>
        <w:rPr>
          <w:b/>
        </w:rPr>
        <w:t>Table 63</w:t>
      </w:r>
    </w:p>
    <w:p>
      <w:pPr>
        <w:pStyle w:val="Normal"/>
        <w:spacing w:before="0" w:after="80"/>
        <w:rPr/>
      </w:pPr>
      <w:r>
        <w:rPr>
          <w:i/>
          <w:iCs/>
        </w:rPr>
        <w:t>Milestone Submission Checklist</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6200"/>
        <w:gridCol w:w="1498"/>
        <w:gridCol w:w="1662"/>
      </w:tblGrid>
      <w:tr>
        <w:trPr>
          <w:tblHeader w:val="true"/>
          <w:cantSplit w:val="true"/>
        </w:trPr>
        <w:tc>
          <w:tcPr>
            <w:tcW w:w="62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Item</w:t>
            </w:r>
          </w:p>
        </w:tc>
        <w:tc>
          <w:tcPr>
            <w:tcW w:w="149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Complete</w:t>
            </w:r>
          </w:p>
        </w:tc>
        <w:tc>
          <w:tcPr>
            <w:tcW w:w="1662"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Verified by</w:t>
            </w:r>
          </w:p>
        </w:tc>
      </w:tr>
      <w:tr>
        <w:trPr>
          <w:cantSplit w:val="true"/>
        </w:trPr>
        <w:tc>
          <w:tcPr>
            <w:tcW w:w="6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Every requirement carries all eleven attributes from Section 4.1</w:t>
            </w:r>
          </w:p>
        </w:tc>
        <w:tc>
          <w:tcPr>
            <w:tcW w:w="14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Yes</w:t>
            </w:r>
          </w:p>
        </w:tc>
        <w:tc>
          <w:tcPr>
            <w:tcW w:w="16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4"/>
              </w:rPr>
              <w:t>The requirements workbook (Section 6) carries ID, Type, Feature, Statement, Rationale, Source, Priority, Milestone, Status, and Owner for all 48 items; Acceptance criteria and Trace are completed in Section 15.1.</w:t>
            </w:r>
          </w:p>
        </w:tc>
      </w:tr>
      <w:tr>
        <w:trPr>
          <w:cantSplit w:val="true"/>
        </w:trPr>
        <w:tc>
          <w:tcPr>
            <w:tcW w:w="6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Every Must requirement has at least one positive and one negative acceptance criterion</w:t>
            </w:r>
          </w:p>
        </w:tc>
        <w:tc>
          <w:tcPr>
            <w:tcW w:w="14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Partial</w:t>
            </w:r>
          </w:p>
        </w:tc>
        <w:tc>
          <w:tcPr>
            <w:tcW w:w="16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4"/>
              </w:rPr>
              <w:t>Positive Given/When/Then criteria exist for 36 of 48 requirements; negative-path criteria have not been audited row by row. See Section 15.3 for the 12 with none yet.</w:t>
            </w:r>
          </w:p>
        </w:tc>
      </w:tr>
      <w:tr>
        <w:trPr>
          <w:cantSplit w:val="true"/>
        </w:trPr>
        <w:tc>
          <w:tcPr>
            <w:tcW w:w="6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Every non-functional requirement states a number, a condition, and a measurement method</w:t>
            </w:r>
          </w:p>
        </w:tc>
        <w:tc>
          <w:tcPr>
            <w:tcW w:w="14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Partial</w:t>
            </w:r>
          </w:p>
        </w:tc>
        <w:tc>
          <w:tcPr>
            <w:tcW w:w="16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4"/>
              </w:rPr>
              <w:t>True for NFR-PERF-01 and the WCAG-mapped NFR-ACC rows (Table 50). NFR-SEC-01–03 (Table 48) are policy statements; whether each meets this bar has not been audited.</w:t>
            </w:r>
          </w:p>
        </w:tc>
      </w:tr>
      <w:tr>
        <w:trPr>
          <w:cantSplit w:val="true"/>
        </w:trPr>
        <w:tc>
          <w:tcPr>
            <w:tcW w:w="6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Every requirement traces to a source in Section 3.3</w:t>
            </w:r>
          </w:p>
        </w:tc>
        <w:tc>
          <w:tcPr>
            <w:tcW w:w="14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Yes</w:t>
            </w:r>
          </w:p>
        </w:tc>
        <w:tc>
          <w:tcPr>
            <w:tcW w:w="16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4"/>
              </w:rPr>
              <w:t>All 48 requirements use SRC-01, CRS-01, or TEAM-01, each registered in Table 16.</w:t>
            </w:r>
          </w:p>
        </w:tc>
      </w:tr>
      <w:tr>
        <w:trPr>
          <w:cantSplit w:val="true"/>
        </w:trPr>
        <w:tc>
          <w:tcPr>
            <w:tcW w:w="6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Traceability matrix updated, including non-functional and accessibility requirements</w:t>
            </w:r>
          </w:p>
        </w:tc>
        <w:tc>
          <w:tcPr>
            <w:tcW w:w="14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Yes</w:t>
            </w:r>
          </w:p>
        </w:tc>
        <w:tc>
          <w:tcPr>
            <w:tcW w:w="16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4"/>
              </w:rPr>
              <w:t>Table 60 (Section 15.1) covers all 48 requirements, including all NFR-SEC and NFR-ACC rows.</w:t>
            </w:r>
          </w:p>
        </w:tc>
      </w:tr>
      <w:tr>
        <w:trPr>
          <w:cantSplit w:val="true"/>
        </w:trPr>
        <w:tc>
          <w:tcPr>
            <w:tcW w:w="6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Change log complete and Track Changes enabled from Milestone 2 onward</w:t>
            </w:r>
          </w:p>
        </w:tc>
        <w:tc>
          <w:tcPr>
            <w:tcW w:w="14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N/A this milestone</w:t>
            </w:r>
          </w:p>
        </w:tc>
        <w:tc>
          <w:tcPr>
            <w:tcW w:w="16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4"/>
              </w:rPr>
              <w:t>This is Milestone 1, the first submission; Table 21 (Section 4.5) is the empty baseline by design. Track Changes applies starting Milestone 2.</w:t>
            </w:r>
          </w:p>
        </w:tc>
      </w:tr>
      <w:tr>
        <w:trPr>
          <w:cantSplit w:val="true"/>
        </w:trPr>
        <w:tc>
          <w:tcPr>
            <w:tcW w:w="6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All required figures present and legible</w:t>
            </w:r>
          </w:p>
        </w:tc>
        <w:tc>
          <w:tcPr>
            <w:tcW w:w="14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Yes</w:t>
            </w:r>
          </w:p>
        </w:tc>
        <w:tc>
          <w:tcPr>
            <w:tcW w:w="16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4"/>
              </w:rPr>
              <w:t>Figures 1–7 are all real diagrams (not placeholders) and were visually reviewed at 100 dpi during the build.</w:t>
            </w:r>
          </w:p>
        </w:tc>
      </w:tr>
      <w:tr>
        <w:trPr>
          <w:cantSplit w:val="true"/>
        </w:trPr>
        <w:tc>
          <w:tcPr>
            <w:tcW w:w="6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Open questions register current</w:t>
            </w:r>
          </w:p>
        </w:tc>
        <w:tc>
          <w:tcPr>
            <w:tcW w:w="14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Yes</w:t>
            </w:r>
          </w:p>
        </w:tc>
        <w:tc>
          <w:tcPr>
            <w:tcW w:w="16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4"/>
              </w:rPr>
              <w:t>Table 17 (Section 3.5) carries OQ-01 through OQ-10, referenced from every section where a conflict surfaces.</w:t>
            </w:r>
          </w:p>
        </w:tc>
      </w:tr>
      <w:tr>
        <w:trPr>
          <w:cantSplit w:val="true"/>
        </w:trPr>
        <w:tc>
          <w:tcPr>
            <w:tcW w:w="6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Accessibility rows reconciled with the VPAT submitted this milestone</w:t>
            </w:r>
          </w:p>
        </w:tc>
        <w:tc>
          <w:tcPr>
            <w:tcW w:w="14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No</w:t>
            </w:r>
          </w:p>
        </w:tc>
        <w:tc>
          <w:tcPr>
            <w:tcW w:w="16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4"/>
              </w:rPr>
              <w:t>No VPAT has been submitted this milestone; every VPAT row status in Table 50 reads "Not yet submitted."</w:t>
            </w:r>
          </w:p>
        </w:tc>
      </w:tr>
      <w:tr>
        <w:trPr>
          <w:cantSplit w:val="true"/>
        </w:trPr>
        <w:tc>
          <w:tcPr>
            <w:tcW w:w="6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No bracketed placeholders remain</w:t>
            </w:r>
          </w:p>
        </w:tc>
        <w:tc>
          <w:tcPr>
            <w:tcW w:w="14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5"/>
              </w:rPr>
              <w:t>Yes, with documented exceptions</w:t>
            </w:r>
          </w:p>
        </w:tc>
        <w:tc>
          <w:tcPr>
            <w:tcW w:w="166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b w:val="false"/>
                <w:i w:val="false"/>
                <w:sz w:val="14"/>
              </w:rPr>
              <w:t>Full-document sweep complete. Remaining brackets are all intentional: workbook-native [TBD-nn]/[PROPOSED: ...] unresolved-detail markers carried verbatim (see Section 15.1's note), Appendix C/D's fill-in prompts, Appendix G's one example reference line, and the List of Tables/List of Figures instructions (Section 1) — this template does not use real Word captions, so those two indexes cannot auto-populate and are left as the manual step the template itself specifies.</w:t>
            </w:r>
          </w:p>
        </w:tc>
      </w:tr>
      <w:tr>
        <w:trPr>
          <w:cantSplit w:val="true"/>
        </w:trPr>
        <w:tc>
          <w:tcPr>
            <w:tcW w:w="6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Tool usage disclosure complete</w:t>
            </w:r>
          </w:p>
        </w:tc>
        <w:tc>
          <w:tcPr>
            <w:tcW w:w="149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5"/>
              </w:rPr>
              <w:t>Yes</w:t>
            </w:r>
          </w:p>
        </w:tc>
        <w:tc>
          <w:tcPr>
            <w:tcW w:w="166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4"/>
              </w:rPr>
              <w:t>Table 62 (Section 16).</w:t>
            </w:r>
          </w:p>
        </w:tc>
      </w:tr>
    </w:tbl>
    <w:p>
      <w:pPr>
        <w:pStyle w:val="Normal"/>
        <w:spacing w:before="60" w:after="160"/>
        <w:rPr/>
      </w:pPr>
      <w:r>
        <w:rPr>
          <w:i/>
        </w:rPr>
        <w:t>Note. Run this checklist before submission. It is the same list used to grade the document. Appendices C and D are intentionally blank templates for future requirements and use cases; their bracketed fields are fill-in prompts by design, not unfilled content, and are excluded from the "no bracketed placeholders" check above. The same is true of the one example reference-format line kept in Appendix G, and of the List of Tables and List of Figures instructions in Section 1: this document does not use Word's automatic caption/SEQ numbering (its Table and Figure labels are typed text), so those two indexes cannot be generated automatically and are left as the manual step the template itself instructs.</w:t>
      </w:r>
    </w:p>
    <w:p>
      <w:pPr>
        <w:pStyle w:val="Normal"/>
        <w:rPr/>
      </w:pPr>
      <w:r>
        <w:rPr/>
      </w:r>
      <w:r>
        <w:br w:type="page"/>
      </w:r>
    </w:p>
    <w:p>
      <w:pPr>
        <w:pStyle w:val="Heading1"/>
        <w:spacing w:before="0" w:after="150"/>
        <w:rPr/>
      </w:pPr>
      <w:bookmarkStart w:id="212" w:name="__RefHeading___Toc10500_627777545"/>
      <w:bookmarkStart w:id="213" w:name="_Toc236656606"/>
      <w:bookmarkEnd w:id="212"/>
      <w:r>
        <w:rPr/>
        <w:t>Appendix A. Glossary</w:t>
      </w:r>
      <w:bookmarkEnd w:id="213"/>
    </w:p>
    <w:p>
      <w:pPr>
        <w:pStyle w:val="Normal"/>
        <w:spacing w:before="150" w:after="40"/>
        <w:rPr/>
      </w:pPr>
      <w:r>
        <w:rPr>
          <w:b/>
        </w:rPr>
        <w:t>Table 64</w:t>
      </w:r>
    </w:p>
    <w:p>
      <w:pPr>
        <w:pStyle w:val="Normal"/>
        <w:spacing w:before="0" w:after="80"/>
        <w:rPr/>
      </w:pPr>
      <w:r>
        <w:rPr>
          <w:i/>
          <w:iCs/>
        </w:rPr>
        <w:t>Glossary</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600"/>
        <w:gridCol w:w="6759"/>
      </w:tblGrid>
      <w:tr>
        <w:trPr>
          <w:tblHeader w:val="true"/>
          <w:cantSplit w:val="true"/>
        </w:trPr>
        <w:tc>
          <w:tcPr>
            <w:tcW w:w="26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Term</w:t>
            </w:r>
          </w:p>
        </w:tc>
        <w:tc>
          <w:tcPr>
            <w:tcW w:w="675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Definition</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Acceptance criterion</w:t>
            </w:r>
          </w:p>
        </w:tc>
        <w:tc>
          <w:tcPr>
            <w:tcW w:w="67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 measurable condition that must be true for a requirement to be considered satisfied</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Beneficiary</w:t>
            </w:r>
          </w:p>
        </w:tc>
        <w:tc>
          <w:tcPr>
            <w:tcW w:w="67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Medicare's term for a person covered under Medicare; called "patient" elsewhere in this document.</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Blue Button 2.0</w:t>
            </w:r>
          </w:p>
        </w:tc>
        <w:tc>
          <w:tcPr>
            <w:tcW w:w="67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b w:val="false"/>
                <w:i w:val="false"/>
                <w:sz w:val="16"/>
              </w:rPr>
              <w:t>CMS's OAuth 2.0 / FHIR-based API that lets a beneficiary authorize a third-party application, such as CareConnect, to retrieve their own Medicare claims data.</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Business rule</w:t>
            </w:r>
          </w:p>
        </w:tc>
        <w:tc>
          <w:tcPr>
            <w:tcW w:w="67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 policy statement that constrains behavior across more than one feature</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Increment</w:t>
            </w:r>
          </w:p>
        </w:tc>
        <w:tc>
          <w:tcPr>
            <w:tcW w:w="67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The set of completed, tested features delivered at one milestone</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Requirement</w:t>
            </w:r>
          </w:p>
        </w:tc>
        <w:tc>
          <w:tcPr>
            <w:tcW w:w="67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 single testable obligation on the system, written as a shall statement</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SMART criterion</w:t>
            </w:r>
          </w:p>
        </w:tc>
        <w:tc>
          <w:tcPr>
            <w:tcW w:w="67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An acceptance criterion that is specific, measurable, achievable, relevant, and time-bound, as required by Section 14.3</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Traceability</w:t>
            </w:r>
          </w:p>
        </w:tc>
        <w:tc>
          <w:tcPr>
            <w:tcW w:w="67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The ability to follow a requirement forward to design, code, and test, and backward to its source</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Verifiable</w:t>
            </w:r>
          </w:p>
        </w:tc>
        <w:tc>
          <w:tcPr>
            <w:tcW w:w="675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Stated so that satisfaction can be proven by test, demonstration, inspection, or analysis</w:t>
            </w:r>
          </w:p>
        </w:tc>
      </w:tr>
    </w:tbl>
    <w:p>
      <w:pPr>
        <w:pStyle w:val="Normal"/>
        <w:spacing w:before="60" w:after="160"/>
        <w:rPr/>
      </w:pPr>
      <w:r>
        <w:rPr>
          <w:i/>
          <w:iCs/>
        </w:rPr>
        <w:t>Note. Add every domain term a new team member would stumble over, and keep the list alphabetized.</w:t>
      </w:r>
    </w:p>
    <w:p>
      <w:pPr>
        <w:pStyle w:val="Heading1"/>
        <w:rPr/>
      </w:pPr>
      <w:bookmarkStart w:id="214" w:name="__RefHeading___Toc10502_627777545"/>
      <w:bookmarkStart w:id="215" w:name="_Toc236656607"/>
      <w:bookmarkEnd w:id="214"/>
      <w:r>
        <w:rPr/>
        <w:t>Appendix B. Acronyms and Abbreviations</w:t>
      </w:r>
      <w:bookmarkEnd w:id="215"/>
    </w:p>
    <w:p>
      <w:pPr>
        <w:pStyle w:val="Normal"/>
        <w:spacing w:before="150" w:after="40"/>
        <w:rPr/>
      </w:pPr>
      <w:r>
        <w:rPr>
          <w:b/>
        </w:rPr>
        <w:t>Table 65</w:t>
      </w:r>
    </w:p>
    <w:p>
      <w:pPr>
        <w:pStyle w:val="Normal"/>
        <w:spacing w:before="0" w:after="80"/>
        <w:rPr/>
      </w:pPr>
      <w:r>
        <w:rPr>
          <w:i/>
          <w:iCs/>
        </w:rPr>
        <w:t>Acronyms</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1300"/>
        <w:gridCol w:w="3380"/>
        <w:gridCol w:w="1301"/>
        <w:gridCol w:w="3378"/>
      </w:tblGrid>
      <w:tr>
        <w:trPr>
          <w:tblHeader w:val="true"/>
          <w:cantSplit w:val="true"/>
        </w:trPr>
        <w:tc>
          <w:tcPr>
            <w:tcW w:w="13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Acronym</w:t>
            </w:r>
          </w:p>
        </w:tc>
        <w:tc>
          <w:tcPr>
            <w:tcW w:w="338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Expansion</w:t>
            </w:r>
          </w:p>
        </w:tc>
        <w:tc>
          <w:tcPr>
            <w:tcW w:w="13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Acronym</w:t>
            </w:r>
          </w:p>
        </w:tc>
        <w:tc>
          <w:tcPr>
            <w:tcW w:w="3378"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Expansion</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AC</w:t>
            </w:r>
          </w:p>
        </w:tc>
        <w:tc>
          <w:tcPr>
            <w:tcW w:w="33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Acceptance Criterion</w:t>
            </w:r>
          </w:p>
        </w:tc>
        <w:tc>
          <w:tcPr>
            <w:tcW w:w="13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PHI</w:t>
            </w:r>
          </w:p>
        </w:tc>
        <w:tc>
          <w:tcPr>
            <w:tcW w:w="33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Protected Health Information</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API</w:t>
            </w:r>
          </w:p>
        </w:tc>
        <w:tc>
          <w:tcPr>
            <w:tcW w:w="338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Application Programming Interface</w:t>
            </w:r>
          </w:p>
        </w:tc>
        <w:tc>
          <w:tcPr>
            <w:tcW w:w="13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PII</w:t>
            </w:r>
          </w:p>
        </w:tc>
        <w:tc>
          <w:tcPr>
            <w:tcW w:w="337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Personally Identifiable Information</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BR</w:t>
            </w:r>
          </w:p>
        </w:tc>
        <w:tc>
          <w:tcPr>
            <w:tcW w:w="33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Business Rule</w:t>
            </w:r>
          </w:p>
        </w:tc>
        <w:tc>
          <w:tcPr>
            <w:tcW w:w="13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RBAC</w:t>
            </w:r>
          </w:p>
        </w:tc>
        <w:tc>
          <w:tcPr>
            <w:tcW w:w="33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Role-Based Access Control</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ERD</w:t>
            </w:r>
          </w:p>
        </w:tc>
        <w:tc>
          <w:tcPr>
            <w:tcW w:w="338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Entity Relationship Diagram</w:t>
            </w:r>
          </w:p>
        </w:tc>
        <w:tc>
          <w:tcPr>
            <w:tcW w:w="13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REQ</w:t>
            </w:r>
          </w:p>
        </w:tc>
        <w:tc>
          <w:tcPr>
            <w:tcW w:w="337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Requirement identifier</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FHIR</w:t>
            </w:r>
          </w:p>
        </w:tc>
        <w:tc>
          <w:tcPr>
            <w:tcW w:w="33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Fast Healthcare Interoperability Resources</w:t>
            </w:r>
          </w:p>
        </w:tc>
        <w:tc>
          <w:tcPr>
            <w:tcW w:w="13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RPO</w:t>
            </w:r>
          </w:p>
        </w:tc>
        <w:tc>
          <w:tcPr>
            <w:tcW w:w="33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Recovery Point Objective</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GDPR</w:t>
            </w:r>
          </w:p>
        </w:tc>
        <w:tc>
          <w:tcPr>
            <w:tcW w:w="338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General Data Protection Regulation</w:t>
            </w:r>
          </w:p>
        </w:tc>
        <w:tc>
          <w:tcPr>
            <w:tcW w:w="13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RTO</w:t>
            </w:r>
          </w:p>
        </w:tc>
        <w:tc>
          <w:tcPr>
            <w:tcW w:w="337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Recovery Time Objective</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HIPAA</w:t>
            </w:r>
          </w:p>
        </w:tc>
        <w:tc>
          <w:tcPr>
            <w:tcW w:w="33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Health Insurance Portability and Accountability Act</w:t>
            </w:r>
          </w:p>
        </w:tc>
        <w:tc>
          <w:tcPr>
            <w:tcW w:w="13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RTM</w:t>
            </w:r>
          </w:p>
        </w:tc>
        <w:tc>
          <w:tcPr>
            <w:tcW w:w="33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Requirements Traceability Matrix</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MFA</w:t>
            </w:r>
          </w:p>
        </w:tc>
        <w:tc>
          <w:tcPr>
            <w:tcW w:w="338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Multi-Factor Authentication</w:t>
            </w:r>
          </w:p>
        </w:tc>
        <w:tc>
          <w:tcPr>
            <w:tcW w:w="13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SRS</w:t>
            </w:r>
          </w:p>
        </w:tc>
        <w:tc>
          <w:tcPr>
            <w:tcW w:w="337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Software Requirements Specification</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MoSCoW</w:t>
            </w:r>
          </w:p>
        </w:tc>
        <w:tc>
          <w:tcPr>
            <w:tcW w:w="33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Must, Should, Could, Won't</w:t>
            </w:r>
          </w:p>
        </w:tc>
        <w:tc>
          <w:tcPr>
            <w:tcW w:w="13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TC</w:t>
            </w:r>
          </w:p>
        </w:tc>
        <w:tc>
          <w:tcPr>
            <w:tcW w:w="33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Test Case</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MVP</w:t>
            </w:r>
          </w:p>
        </w:tc>
        <w:tc>
          <w:tcPr>
            <w:tcW w:w="338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Minimum Viable Product</w:t>
            </w:r>
          </w:p>
        </w:tc>
        <w:tc>
          <w:tcPr>
            <w:tcW w:w="13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UC</w:t>
            </w:r>
          </w:p>
        </w:tc>
        <w:tc>
          <w:tcPr>
            <w:tcW w:w="337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Use Case</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NFR</w:t>
            </w:r>
          </w:p>
        </w:tc>
        <w:tc>
          <w:tcPr>
            <w:tcW w:w="33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Non-Functional Requirement</w:t>
            </w:r>
          </w:p>
        </w:tc>
        <w:tc>
          <w:tcPr>
            <w:tcW w:w="13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VPAT</w:t>
            </w:r>
          </w:p>
        </w:tc>
        <w:tc>
          <w:tcPr>
            <w:tcW w:w="33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Voluntary Product Accessibility Template</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OIDC</w:t>
            </w:r>
          </w:p>
        </w:tc>
        <w:tc>
          <w:tcPr>
            <w:tcW w:w="338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OpenID Connect</w:t>
            </w:r>
          </w:p>
        </w:tc>
        <w:tc>
          <w:tcPr>
            <w:tcW w:w="13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WCAG</w:t>
            </w:r>
          </w:p>
        </w:tc>
        <w:tc>
          <w:tcPr>
            <w:tcW w:w="337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Web Content Accessibility Guidelines</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SMART</w:t>
            </w:r>
          </w:p>
        </w:tc>
        <w:tc>
          <w:tcPr>
            <w:tcW w:w="338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Specific, Measurable, Achievable, Relevant, Time-bound</w:t>
            </w:r>
          </w:p>
        </w:tc>
        <w:tc>
          <w:tcPr>
            <w:tcW w:w="13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SRS</w:t>
            </w:r>
          </w:p>
        </w:tc>
        <w:tc>
          <w:tcPr>
            <w:tcW w:w="337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Software Requirements Specification</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BB2</w:t>
            </w:r>
          </w:p>
        </w:tc>
        <w:tc>
          <w:tcPr>
            <w:tcW w:w="33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Blue Button 2.0</w:t>
            </w:r>
          </w:p>
        </w:tc>
        <w:tc>
          <w:tcPr>
            <w:tcW w:w="13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OAuth</w:t>
            </w:r>
          </w:p>
        </w:tc>
        <w:tc>
          <w:tcPr>
            <w:tcW w:w="337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Open Authorization</w:t>
            </w:r>
          </w:p>
        </w:tc>
      </w:tr>
      <w:tr>
        <w:trPr>
          <w:cantSplit w:val="true"/>
        </w:trPr>
        <w:tc>
          <w:tcPr>
            <w:tcW w:w="130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CMS</w:t>
            </w:r>
          </w:p>
        </w:tc>
        <w:tc>
          <w:tcPr>
            <w:tcW w:w="3380"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Centers for Medicare &amp; Medicaid Services</w:t>
            </w:r>
          </w:p>
        </w:tc>
        <w:tc>
          <w:tcPr>
            <w:tcW w:w="130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EHR</w:t>
            </w:r>
          </w:p>
        </w:tc>
        <w:tc>
          <w:tcPr>
            <w:tcW w:w="337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pPr>
              <w:pStyle w:val="Normal"/>
              <w:widowControl/>
              <w:bidi w:val="0"/>
              <w:spacing w:lineRule="auto" w:line="276" w:before="0" w:after="130"/>
              <w:jc w:val="left"/>
              <w:rPr/>
            </w:pPr>
            <w:r>
              <w:rPr>
                <w:b w:val="false"/>
                <w:i w:val="false"/>
                <w:sz w:val="15"/>
              </w:rPr>
              <w:t>Electronic Health Record</w:t>
            </w:r>
          </w:p>
        </w:tc>
      </w:tr>
    </w:tbl>
    <w:p>
      <w:pPr>
        <w:pStyle w:val="Normal"/>
        <w:spacing w:before="60" w:after="160"/>
        <w:rPr/>
      </w:pPr>
      <w:r>
        <w:rPr>
          <w:i/>
          <w:iCs/>
        </w:rPr>
        <w:t>Note. Add project-specific acronyms. Every acronym is also spelled out at first use in the body.</w:t>
      </w:r>
    </w:p>
    <w:p>
      <w:pPr>
        <w:pStyle w:val="Heading1"/>
        <w:rPr/>
      </w:pPr>
      <w:bookmarkStart w:id="216" w:name="__RefHeading___Toc10504_627777545"/>
      <w:bookmarkStart w:id="217" w:name="_Toc236656608"/>
      <w:bookmarkEnd w:id="216"/>
      <w:r>
        <w:rPr/>
        <w:t>Appendix C. Requirement Entry Form</w:t>
      </w:r>
      <w:bookmarkEnd w:id="217"/>
    </w:p>
    <w:p>
      <w:pPr>
        <w:pStyle w:val="Normal"/>
        <w:spacing w:before="150" w:after="40"/>
        <w:rPr/>
      </w:pPr>
      <w:r>
        <w:rPr>
          <w:b/>
        </w:rPr>
        <w:t>Table 66</w:t>
      </w:r>
    </w:p>
    <w:p>
      <w:pPr>
        <w:pStyle w:val="Normal"/>
        <w:spacing w:before="0" w:after="80"/>
        <w:rPr/>
      </w:pPr>
      <w:r>
        <w:rPr>
          <w:i/>
          <w:iCs/>
        </w:rPr>
        <w:t>Requirement Entry Form</w:t>
      </w:r>
    </w:p>
    <w:tbl>
      <w:tblPr>
        <w:tblW w:w="9360" w:type="dxa"/>
        <w:jc w:val="left"/>
        <w:tblInd w:w="0" w:type="dxa"/>
        <w:tblLayout w:type="fixed"/>
        <w:tblCellMar>
          <w:top w:w="60" w:type="dxa"/>
          <w:left w:w="100" w:type="dxa"/>
          <w:bottom w:w="60" w:type="dxa"/>
          <w:right w:w="100" w:type="dxa"/>
        </w:tblCellMar>
        <w:tblLook w:val="0000" w:noHBand="0" w:noVBand="0" w:firstColumn="0" w:lastRow="0" w:lastColumn="0" w:firstRow="0"/>
      </w:tblPr>
      <w:tblGrid>
        <w:gridCol w:w="2799"/>
        <w:gridCol w:w="6560"/>
      </w:tblGrid>
      <w:tr>
        <w:trPr>
          <w:tblHeader w:val="true"/>
          <w:cantSplit w:val="true"/>
        </w:trPr>
        <w:tc>
          <w:tcPr>
            <w:tcW w:w="27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Field</w:t>
            </w:r>
          </w:p>
        </w:tc>
        <w:tc>
          <w:tcPr>
            <w:tcW w:w="656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rPr/>
            </w:pPr>
            <w:r>
              <w:rPr>
                <w:b/>
                <w:bCs/>
                <w:sz w:val="18"/>
                <w:szCs w:val="18"/>
              </w:rPr>
              <w:t>Entry</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Requirement ID</w:t>
            </w:r>
          </w:p>
        </w:tc>
        <w:tc>
          <w:tcPr>
            <w:tcW w:w="6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[REQ-nnnn]</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Statement</w:t>
            </w:r>
          </w:p>
        </w:tc>
        <w:tc>
          <w:tcPr>
            <w:tcW w:w="65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[The system shall ...]</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Source</w:t>
            </w:r>
          </w:p>
        </w:tc>
        <w:tc>
          <w:tcPr>
            <w:tcW w:w="6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[SRC, INH, REG, STD, CRS, or TEAM identifier]</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Rationale</w:t>
            </w:r>
          </w:p>
        </w:tc>
        <w:tc>
          <w:tcPr>
            <w:tcW w:w="65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[Why this exists]</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Priority</w:t>
            </w:r>
          </w:p>
        </w:tc>
        <w:tc>
          <w:tcPr>
            <w:tcW w:w="6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[Must / Should / Could / Won't]</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Milestone</w:t>
            </w:r>
          </w:p>
        </w:tc>
        <w:tc>
          <w:tcPr>
            <w:tcW w:w="65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[M1 / M2 / M3 / M4 / Deferred]</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Status</w:t>
            </w:r>
          </w:p>
        </w:tc>
        <w:tc>
          <w:tcPr>
            <w:tcW w:w="6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[Proposed / Approved / Implemented / Verified / Deferred / Withdrawn]</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Owner</w:t>
            </w:r>
          </w:p>
        </w:tc>
        <w:tc>
          <w:tcPr>
            <w:tcW w:w="65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[Name]</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Verification method</w:t>
            </w:r>
          </w:p>
        </w:tc>
        <w:tc>
          <w:tcPr>
            <w:tcW w:w="6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[Test / Demonstration / Inspection / Analysis]</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Acceptance criteria</w:t>
            </w:r>
          </w:p>
        </w:tc>
        <w:tc>
          <w:tcPr>
            <w:tcW w:w="65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[AC identifiers, Given, When, Then, each one SMART and measurable per Section 14.3]</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Business rules applied</w:t>
            </w:r>
          </w:p>
        </w:tc>
        <w:tc>
          <w:tcPr>
            <w:tcW w:w="6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[BR identifiers]</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Error conditions</w:t>
            </w:r>
          </w:p>
        </w:tc>
        <w:tc>
          <w:tcPr>
            <w:tcW w:w="65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[ERR identifiers]</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Design reference</w:t>
            </w:r>
          </w:p>
        </w:tc>
        <w:tc>
          <w:tcPr>
            <w:tcW w:w="6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[TDD section]</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Test case</w:t>
            </w:r>
          </w:p>
        </w:tc>
        <w:tc>
          <w:tcPr>
            <w:tcW w:w="65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[TC identifiers]</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Dependencies</w:t>
            </w:r>
          </w:p>
        </w:tc>
        <w:tc>
          <w:tcPr>
            <w:tcW w:w="65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8"/>
                <w:szCs w:val="18"/>
              </w:rPr>
              <w:t>[Other REQ identifiers, DE identifiers]</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Version and change history</w:t>
            </w:r>
          </w:p>
        </w:tc>
        <w:tc>
          <w:tcPr>
            <w:tcW w:w="656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40" w:before="0" w:after="0"/>
              <w:rPr/>
            </w:pPr>
            <w:r>
              <w:rPr>
                <w:sz w:val="18"/>
                <w:szCs w:val="18"/>
              </w:rPr>
              <w:t>[Version, date, change ID]</w:t>
            </w:r>
          </w:p>
        </w:tc>
      </w:tr>
    </w:tbl>
    <w:p>
      <w:pPr>
        <w:pStyle w:val="Normal"/>
        <w:spacing w:before="60" w:after="160"/>
        <w:rPr/>
      </w:pPr>
      <w:r>
        <w:rPr>
          <w:i/>
          <w:iCs/>
        </w:rPr>
        <w:t>Note. Keep this blank form in the repository. Requirements captured on it arrive complete.</w:t>
      </w:r>
    </w:p>
    <w:p>
      <w:pPr>
        <w:pStyle w:val="Heading1"/>
        <w:rPr/>
      </w:pPr>
      <w:bookmarkStart w:id="218" w:name="__RefHeading___Toc10506_627777545"/>
      <w:bookmarkStart w:id="219" w:name="_Toc236656609"/>
      <w:bookmarkEnd w:id="218"/>
      <w:r>
        <w:rPr/>
        <w:t>Appendix D. Use Case Template</w:t>
      </w:r>
      <w:bookmarkEnd w:id="219"/>
    </w:p>
    <w:p>
      <w:pPr>
        <w:pStyle w:val="Normal"/>
        <w:rPr/>
      </w:pPr>
      <w:r>
        <w:rPr/>
        <w:t>Use the structure in Section 6.1.2: identifier and name, primary actor, preconditions, trigger, main success scenario, alternate flows, exception flows, postconditions, and requirements realized.</w:t>
      </w:r>
    </w:p>
    <w:p>
      <w:pPr>
        <w:pStyle w:val="Heading1"/>
        <w:rPr/>
      </w:pPr>
      <w:bookmarkStart w:id="220" w:name="__RefHeading___Toc10508_627777545"/>
      <w:bookmarkStart w:id="221" w:name="_Toc236656610"/>
      <w:bookmarkEnd w:id="220"/>
      <w:r>
        <w:rPr/>
        <w:t>Appendix E. Full Requirements Traceability Matrix</w:t>
      </w:r>
      <w:bookmarkEnd w:id="221"/>
    </w:p>
    <w:p>
      <w:pPr>
        <w:pStyle w:val="Normal"/>
        <w:rPr/>
      </w:pPr>
      <w:r>
        <w:rPr/>
        <w:t>The complete matrix is Table 60 in Section 15.1: all 48 current requirements fit in that table, so no separate controlled spreadsheet exists yet. If the team adopts one (for example, when the requirement count grows past what a Word table can carry legibly), this appendix will name its file path and the retrieval date of the version reproduced at each milestone.</w:t>
      </w:r>
    </w:p>
    <w:p>
      <w:pPr>
        <w:pStyle w:val="Heading1"/>
        <w:rPr/>
      </w:pPr>
      <w:bookmarkStart w:id="222" w:name="__RefHeading___Toc10510_627777545"/>
      <w:bookmarkStart w:id="223" w:name="_Toc236656611"/>
      <w:bookmarkEnd w:id="222"/>
      <w:r>
        <w:rPr/>
        <w:t>Appendix F. Full Requirements Change Log</w:t>
      </w:r>
      <w:bookmarkEnd w:id="223"/>
    </w:p>
    <w:p>
      <w:pPr>
        <w:pStyle w:val="Normal"/>
        <w:rPr/>
      </w:pPr>
      <w:r>
        <w:rPr/>
        <w:t>This is Milestone 1, the first submission for the Medicare integration feature; there is no prior milestone to accumulate from. Table 21 (Section 4.5) is empty for the same reason and is the starting point for this cumulative log. Entries will accumulate here beginning at Milestone 2.</w:t>
      </w:r>
    </w:p>
    <w:p>
      <w:pPr>
        <w:pStyle w:val="Heading1"/>
        <w:rPr/>
      </w:pPr>
      <w:bookmarkStart w:id="224" w:name="__RefHeading___Toc10512_627777545"/>
      <w:bookmarkStart w:id="225" w:name="_Toc236656612"/>
      <w:bookmarkEnd w:id="224"/>
      <w:r>
        <w:rPr/>
        <w:t>Appendix G. References</w:t>
      </w:r>
      <w:bookmarkEnd w:id="225"/>
    </w:p>
    <w:p>
      <w:pPr>
        <w:pStyle w:val="Normal"/>
        <w:rPr/>
      </w:pPr>
      <w:r>
        <w:rPr>
          <w:i/>
          <w:iCs/>
        </w:rPr>
        <w:t>The references used to write this SRS are listed in Section 1.8 (References); they are not duplicated here to avoid the two lists drifting apart. APA 7th edition governs their format.</w:t>
      </w:r>
    </w:p>
    <w:p>
      <w:pPr>
        <w:pStyle w:val="Normal"/>
        <w:rPr/>
      </w:pPr>
      <w:r>
        <w:rPr/>
        <w:t>The following reference is required in every submission, because Section 14.2 relies on it:</w:t>
      </w:r>
    </w:p>
    <w:p>
      <w:pPr>
        <w:pStyle w:val="Normal"/>
        <w:ind w:hanging="720" w:left="720"/>
        <w:rPr/>
      </w:pPr>
      <w:r>
        <w:rPr/>
        <w:t xml:space="preserve">International Organization for Standardization, International Electrotechnical Commission, &amp; Institute of Electrical and Electronics Engineers. (2018). </w:t>
      </w:r>
      <w:r>
        <w:rPr>
          <w:i/>
          <w:iCs/>
        </w:rPr>
        <w:t>ISO/IEC/IEEE 29148:2018. Systems and software engineering, life cycle processes, requirements engineering</w:t>
      </w:r>
      <w:r>
        <w:rPr/>
        <w:t xml:space="preserve"> (2nd ed.). ISO.</w:t>
      </w:r>
    </w:p>
    <w:p>
      <w:pPr>
        <w:pStyle w:val="Normal"/>
        <w:rPr/>
      </w:pPr>
      <w:r>
        <w:rPr>
          <w:i/>
          <w:iCs/>
        </w:rPr>
        <w:t>[Author, A. A. (Year). Title of work. Source. URL]</w:t>
      </w:r>
    </w:p>
    <w:p>
      <w:pPr>
        <w:pStyle w:val="Normal"/>
        <w:widowControl/>
        <w:bidi w:val="0"/>
        <w:spacing w:lineRule="auto" w:line="276" w:before="0" w:after="130"/>
        <w:jc w:val="left"/>
        <w:rPr/>
      </w:pPr>
      <w:r>
        <w:rPr>
          <w:i/>
          <w:iCs/>
        </w:rPr>
        <w:t>[Second reference, alphabetized, hanging indent 0.5 inch]</w:t>
      </w:r>
    </w:p>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Aptos">
    <w:charset w:val="00"/>
    <w:family w:val="roman"/>
    <w:pitch w:val="variable"/>
  </w:font>
  <w:font w:name="Apto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3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30"/>
      <w:jc w:val="center"/>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67</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67</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30"/>
      <w:jc w:val="center"/>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67</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67</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3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BFBFBF"/>
      </w:pBdr>
      <w:spacing w:before="0" w:after="130"/>
      <w:jc w:val="right"/>
      <w:rPr/>
    </w:pPr>
    <w:r>
      <w:rPr>
        <w:sz w:val="18"/>
        <w:szCs w:val="18"/>
      </w:rPr>
      <w:t>SWEN 670 Capstone | Software Requirements Specification Template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BFBFBF"/>
      </w:pBdr>
      <w:spacing w:before="0" w:after="130"/>
      <w:jc w:val="right"/>
      <w:rPr/>
    </w:pPr>
    <w:r>
      <w:rPr>
        <w:sz w:val="18"/>
        <w:szCs w:val="18"/>
      </w:rPr>
      <w:t>SWEN 670 Capstone | Software Requirements Specification Template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504" w:hanging="288"/>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decimal"/>
      <w:lvlText w:val="%1."/>
      <w:lvlJc w:val="left"/>
      <w:pPr>
        <w:tabs>
          <w:tab w:val="num" w:pos="0"/>
        </w:tabs>
        <w:ind w:left="504" w:hanging="288"/>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decimal"/>
      <w:lvlText w:val="%1."/>
      <w:lvlJc w:val="left"/>
      <w:pPr>
        <w:tabs>
          <w:tab w:val="num" w:pos="0"/>
        </w:tabs>
        <w:ind w:left="504" w:hanging="288"/>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bullet"/>
      <w:lvlText w:val=""/>
      <w:lvlJc w:val="left"/>
      <w:pPr>
        <w:tabs>
          <w:tab w:val="num" w:pos="0"/>
        </w:tabs>
        <w:ind w:left="504" w:hanging="288"/>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9"/>
    <w:lvlOverride w:ilvl="0">
      <w:startOverride w:val="1"/>
    </w:lvlOverride>
  </w:num>
  <w:num w:numId="13">
    <w:abstractNumId w:val="9"/>
  </w:num>
  <w:num w:numId="14">
    <w:abstractNumId w:val="9"/>
  </w:num>
  <w:num w:numId="15">
    <w:abstractNumId w:val="9"/>
  </w:num>
  <w:num w:numId="16">
    <w:abstractNumId w:val="9"/>
  </w:num>
  <w:num w:numId="17">
    <w:abstractNumId w:val="9"/>
  </w:num>
  <w:num w:numId="18">
    <w:abstractNumId w:val="10"/>
    <w:lvlOverride w:ilvl="0">
      <w:startOverride w:val="1"/>
    </w:lvlOverride>
  </w:num>
  <w:num w:numId="19">
    <w:abstractNumId w:val="10"/>
  </w:num>
  <w:num w:numId="20">
    <w:abstractNumId w:val="10"/>
  </w:num>
  <w:num w:numId="21">
    <w:abstractNumId w:val="10"/>
  </w:num>
  <w:num w:numId="22">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0"/>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30"/>
      <w:jc w:val="left"/>
    </w:pPr>
    <w:rPr>
      <w:rFonts w:ascii="Calibri" w:hAnsi="Calibri" w:eastAsia="Calibri" w:cs="Calibri"/>
      <w:color w:val="000000"/>
      <w:kern w:val="0"/>
      <w:sz w:val="22"/>
      <w:szCs w:val="22"/>
      <w:lang w:val="en-US" w:eastAsia="en-US" w:bidi="ar-SA"/>
    </w:rPr>
  </w:style>
  <w:style w:type="paragraph" w:styleId="Heading1">
    <w:name w:val="Heading 1"/>
    <w:uiPriority w:val="9"/>
    <w:qFormat/>
    <w:pPr>
      <w:widowControl/>
      <w:suppressAutoHyphens w:val="true"/>
      <w:bidi w:val="0"/>
      <w:spacing w:lineRule="auto" w:line="276" w:before="320" w:after="150"/>
      <w:jc w:val="left"/>
      <w:outlineLvl w:val="0"/>
    </w:pPr>
    <w:rPr>
      <w:rFonts w:ascii="Calibri" w:hAnsi="Calibri" w:eastAsia="Calibri" w:cs="Calibri"/>
      <w:b/>
      <w:bCs/>
      <w:color w:val="000000"/>
      <w:kern w:val="0"/>
      <w:sz w:val="29"/>
      <w:szCs w:val="29"/>
      <w:lang w:val="en-US" w:eastAsia="en-US" w:bidi="ar-SA"/>
    </w:rPr>
  </w:style>
  <w:style w:type="paragraph" w:styleId="Heading2">
    <w:name w:val="Heading 2"/>
    <w:uiPriority w:val="9"/>
    <w:unhideWhenUsed/>
    <w:qFormat/>
    <w:pPr>
      <w:widowControl/>
      <w:suppressAutoHyphens w:val="true"/>
      <w:bidi w:val="0"/>
      <w:spacing w:lineRule="auto" w:line="276" w:before="250" w:after="110"/>
      <w:jc w:val="left"/>
      <w:outlineLvl w:val="1"/>
    </w:pPr>
    <w:rPr>
      <w:rFonts w:ascii="Calibri" w:hAnsi="Calibri" w:eastAsia="Calibri" w:cs="Calibri"/>
      <w:b/>
      <w:bCs/>
      <w:color w:val="000000"/>
      <w:kern w:val="0"/>
      <w:sz w:val="25"/>
      <w:szCs w:val="25"/>
      <w:lang w:val="en-US" w:eastAsia="en-US" w:bidi="ar-SA"/>
    </w:rPr>
  </w:style>
  <w:style w:type="paragraph" w:styleId="Heading3">
    <w:name w:val="Heading 3"/>
    <w:uiPriority w:val="9"/>
    <w:unhideWhenUsed/>
    <w:qFormat/>
    <w:pPr>
      <w:widowControl/>
      <w:suppressAutoHyphens w:val="true"/>
      <w:bidi w:val="0"/>
      <w:spacing w:lineRule="auto" w:line="276" w:before="200" w:after="100"/>
      <w:jc w:val="left"/>
      <w:outlineLvl w:val="2"/>
    </w:pPr>
    <w:rPr>
      <w:rFonts w:ascii="Calibri" w:hAnsi="Calibri" w:eastAsia="Calibri" w:cs="Calibri"/>
      <w:b/>
      <w:bCs/>
      <w:color w:val="000000"/>
      <w:kern w:val="0"/>
      <w:sz w:val="22"/>
      <w:szCs w:val="22"/>
      <w:lang w:val="en-US" w:eastAsia="en-US" w:bidi="ar-SA"/>
    </w:rPr>
  </w:style>
  <w:style w:type="paragraph" w:styleId="Heading4">
    <w:name w:val="Heading 4"/>
    <w:uiPriority w:val="9"/>
    <w:semiHidden/>
    <w:unhideWhenUsed/>
    <w:qFormat/>
    <w:pPr>
      <w:widowControl/>
      <w:suppressAutoHyphens w:val="true"/>
      <w:bidi w:val="0"/>
      <w:spacing w:lineRule="auto" w:line="276" w:before="0" w:after="130"/>
      <w:jc w:val="left"/>
      <w:outlineLvl w:val="3"/>
    </w:pPr>
    <w:rPr>
      <w:rFonts w:ascii="Calibri" w:hAnsi="Calibri" w:eastAsia="Calibri" w:cs="Calibri"/>
      <w:i/>
      <w:iCs/>
      <w:color w:val="000000"/>
      <w:kern w:val="0"/>
      <w:sz w:val="22"/>
      <w:szCs w:val="22"/>
      <w:lang w:val="en-US" w:eastAsia="en-US" w:bidi="ar-SA"/>
    </w:rPr>
  </w:style>
  <w:style w:type="paragraph" w:styleId="Heading5">
    <w:name w:val="Heading 5"/>
    <w:uiPriority w:val="9"/>
    <w:semiHidden/>
    <w:unhideWhenUsed/>
    <w:qFormat/>
    <w:pPr>
      <w:widowControl/>
      <w:suppressAutoHyphens w:val="true"/>
      <w:bidi w:val="0"/>
      <w:spacing w:lineRule="auto" w:line="276" w:before="0" w:after="130"/>
      <w:jc w:val="left"/>
      <w:outlineLvl w:val="4"/>
    </w:pPr>
    <w:rPr>
      <w:rFonts w:ascii="Calibri" w:hAnsi="Calibri" w:eastAsia="Calibri" w:cs="Calibri"/>
      <w:color w:val="000000"/>
      <w:kern w:val="0"/>
      <w:sz w:val="22"/>
      <w:szCs w:val="22"/>
      <w:lang w:val="en-US" w:eastAsia="en-US" w:bidi="ar-SA"/>
    </w:rPr>
  </w:style>
  <w:style w:type="paragraph" w:styleId="Heading6">
    <w:name w:val="Heading 6"/>
    <w:uiPriority w:val="9"/>
    <w:semiHidden/>
    <w:unhideWhenUsed/>
    <w:qFormat/>
    <w:pPr>
      <w:widowControl/>
      <w:suppressAutoHyphens w:val="true"/>
      <w:bidi w:val="0"/>
      <w:spacing w:lineRule="auto" w:line="276" w:before="0" w:after="130"/>
      <w:jc w:val="left"/>
      <w:outlineLvl w:val="5"/>
    </w:pPr>
    <w:rPr>
      <w:rFonts w:ascii="Calibri" w:hAnsi="Calibri" w:eastAsia="Calibri" w:cs="Calibri"/>
      <w:color w:val="000000"/>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00000"/>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256b4b"/>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suppressAutoHyphens w:val="true"/>
      <w:bidi w:val="0"/>
      <w:spacing w:lineRule="auto" w:line="276" w:before="0" w:after="130"/>
      <w:jc w:val="left"/>
    </w:pPr>
    <w:rPr>
      <w:rFonts w:ascii="Calibri" w:hAnsi="Calibri" w:eastAsia="Calibri" w:cs="Calibri"/>
      <w:color w:val="000000"/>
      <w:kern w:val="0"/>
      <w:sz w:val="56"/>
      <w:szCs w:val="56"/>
      <w:lang w:val="en-US" w:eastAsia="en-US" w:bidi="ar-SA"/>
    </w:rPr>
  </w:style>
  <w:style w:type="paragraph" w:styleId="Strong1" w:customStyle="1">
    <w:name w:val="Strong1"/>
    <w:qFormat/>
    <w:pPr>
      <w:widowControl/>
      <w:suppressAutoHyphens w:val="true"/>
      <w:bidi w:val="0"/>
      <w:spacing w:lineRule="auto" w:line="276" w:before="0" w:after="130"/>
      <w:jc w:val="left"/>
    </w:pPr>
    <w:rPr>
      <w:rFonts w:ascii="Calibri" w:hAnsi="Calibri" w:eastAsia="Calibri" w:cs="Calibri"/>
      <w:b/>
      <w:bCs/>
      <w:color w:val="000000"/>
      <w:kern w:val="0"/>
      <w:sz w:val="22"/>
      <w:szCs w:val="22"/>
      <w:lang w:val="en-US" w:eastAsia="en-US" w:bidi="ar-SA"/>
    </w:rPr>
  </w:style>
  <w:style w:type="paragraph" w:styleId="ListParagraph">
    <w:name w:val="List Paragraph"/>
    <w:qFormat/>
    <w:pPr>
      <w:widowControl/>
      <w:suppressAutoHyphens w:val="true"/>
      <w:bidi w:val="0"/>
      <w:spacing w:lineRule="auto" w:line="276" w:before="0" w:after="130"/>
      <w:jc w:val="left"/>
    </w:pPr>
    <w:rPr>
      <w:rFonts w:ascii="Calibri" w:hAnsi="Calibri" w:eastAsia="Calibri" w:cs="Calibri"/>
      <w:color w:val="000000"/>
      <w:kern w:val="0"/>
      <w:sz w:val="22"/>
      <w:szCs w:val="22"/>
      <w:lang w:val="en-US" w:eastAsia="en-US" w:bidi="ar-SA"/>
    </w:rPr>
  </w:style>
  <w:style w:type="paragraph" w:styleId="FootnoteText">
    <w:name w:val="Footnote Text"/>
    <w:link w:val="FootnoteTextChar"/>
    <w:uiPriority w:val="99"/>
    <w:semiHidden/>
    <w:unhideWhenUsed/>
    <w:pPr>
      <w:widowControl/>
      <w:suppressAutoHyphens w:val="true"/>
      <w:bidi w:val="0"/>
      <w:spacing w:lineRule="auto" w:line="240" w:before="0" w:after="0"/>
      <w:jc w:val="left"/>
    </w:pPr>
    <w:rPr>
      <w:rFonts w:ascii="Calibri" w:hAnsi="Calibri" w:eastAsia="Calibri" w:cs="Calibri"/>
      <w:color w:val="000000"/>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lineRule="auto" w:line="240" w:before="0" w:after="0"/>
      <w:jc w:val="left"/>
    </w:pPr>
    <w:rPr>
      <w:rFonts w:ascii="Calibri" w:hAnsi="Calibri" w:eastAsia="Calibri" w:cs="Calibri"/>
      <w:color w:val="000000"/>
      <w:kern w:val="0"/>
      <w:sz w:val="20"/>
      <w:szCs w:val="20"/>
      <w:lang w:val="en-US" w:eastAsia="en-US" w:bidi="ar-SA"/>
    </w:rPr>
  </w:style>
  <w:style w:type="paragraph" w:styleId="TOC1">
    <w:name w:val="TOC 1"/>
    <w:basedOn w:val="Normal"/>
    <w:next w:val="Normal"/>
    <w:autoRedefine/>
    <w:uiPriority w:val="39"/>
    <w:unhideWhenUsed/>
    <w:rsid w:val="00256b4b"/>
    <w:pPr>
      <w:spacing w:before="0" w:after="100"/>
    </w:pPr>
    <w:rPr/>
  </w:style>
  <w:style w:type="paragraph" w:styleId="TOC2">
    <w:name w:val="TOC 2"/>
    <w:basedOn w:val="Normal"/>
    <w:next w:val="Normal"/>
    <w:autoRedefine/>
    <w:uiPriority w:val="39"/>
    <w:unhideWhenUsed/>
    <w:rsid w:val="00256b4b"/>
    <w:pPr>
      <w:spacing w:before="0" w:after="100"/>
      <w:ind w:left="220"/>
    </w:pPr>
    <w:rPr/>
  </w:style>
  <w:style w:type="paragraph" w:styleId="TOC3">
    <w:name w:val="TOC 3"/>
    <w:basedOn w:val="Normal"/>
    <w:next w:val="Normal"/>
    <w:autoRedefine/>
    <w:uiPriority w:val="39"/>
    <w:unhideWhenUsed/>
    <w:rsid w:val="00256b4b"/>
    <w:pPr>
      <w:spacing w:before="0" w:after="100"/>
      <w:ind w:left="440"/>
    </w:pPr>
    <w:rPr/>
  </w:style>
  <w:style w:type="paragraph" w:styleId="TOC4">
    <w:name w:val="TOC 4"/>
    <w:basedOn w:val="Normal"/>
    <w:next w:val="Normal"/>
    <w:autoRedefine/>
    <w:uiPriority w:val="39"/>
    <w:unhideWhenUsed/>
    <w:rsid w:val="00256b4b"/>
    <w:pPr>
      <w:spacing w:lineRule="auto" w:line="276" w:before="0" w:after="100"/>
      <w:ind w:left="72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256b4b"/>
    <w:pPr>
      <w:spacing w:lineRule="auto" w:line="276" w:before="0" w:after="100"/>
      <w:ind w:left="96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256b4b"/>
    <w:pPr>
      <w:spacing w:lineRule="auto" w:line="276" w:before="0" w:after="100"/>
      <w:ind w:left="120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256b4b"/>
    <w:pPr>
      <w:spacing w:lineRule="auto" w:line="276" w:before="0" w:after="100"/>
      <w:ind w:left="144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256b4b"/>
    <w:pPr>
      <w:spacing w:lineRule="auto" w:line="276" w:before="0" w:after="100"/>
      <w:ind w:left="168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256b4b"/>
    <w:pPr>
      <w:spacing w:lineRule="auto" w:line="276" w:before="0" w:after="100"/>
      <w:ind w:left="192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cms.gov/" TargetMode="External"/><Relationship Id="rId3" Type="http://schemas.openxmlformats.org/officeDocument/2006/relationships/hyperlink" Target="https://umuc365-my.sharepoint.com/:w:/r/personal/jcampbell192_student_umgc_edu/_layouts/15/Doc.aspx?sourcedoc=%7B88BA1980-76AC-4C3A-BAA2-68B5EB50B73C%7D&amp;file=09_Handoff.docx&amp;action=default&amp;mobileredirect=true" TargetMode="External"/><Relationship Id="rId4" Type="http://schemas.openxmlformats.org/officeDocument/2006/relationships/image" Target="media/image1.png"/><Relationship Id="rId5" Type="http://schemas.openxmlformats.org/officeDocument/2006/relationships/hyperlink" Target="https://github.com/umgc/2026_summer_careconnect/tree/main"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67</Pages>
  <Words>20114</Words>
  <Characters>115984</Characters>
  <CharactersWithSpaces>132817</CharactersWithSpaces>
  <Paragraphs>3390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2026-08-05T19:01:00Z</dcterms:created>
  <dc:creator>SWEN 670 Software Engineering Capstone</dc:creator>
  <dc:description/>
  <dc:language>en-US</dc:language>
  <cp:lastModifiedBy/>
  <dcterms:modified xsi:type="dcterms:W3CDTF">2026-08-25T23:01:11Z</dcterms:modified>
  <cp:revision>5</cp:revision>
  <dc:subject/>
  <dc:title>SWEN 670 Standard Software Requirements Specification Template</dc:title>
</cp:coreProperties>
</file>

<file path=docProps/custom.xml><?xml version="1.0" encoding="utf-8"?>
<Properties xmlns="http://schemas.openxmlformats.org/officeDocument/2006/custom-properties" xmlns:vt="http://schemas.openxmlformats.org/officeDocument/2006/docPropsVTypes"/>
</file>