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40"/>
      </w:pPr>
      <w:r>
        <w:rPr>
          <w:rFonts w:ascii="Microsoft YaHei" w:hAnsi="Microsoft YaHei" w:eastAsia="Microsoft YaHei"/>
          <w:b/>
          <w:color w:val="2E74B5"/>
          <w:sz w:val="19"/>
        </w:rPr>
        <w:t>PRODUCT REQUIREMENTS DOCUMENT</w:t>
      </w:r>
    </w:p>
    <w:p>
      <w:pPr>
        <w:pStyle w:val="Title"/>
      </w:pPr>
      <w:r>
        <w:rPr>
          <w:rFonts w:ascii="Microsoft YaHei" w:hAnsi="Microsoft YaHei" w:eastAsia="Microsoft YaHei"/>
          <w:b/>
          <w:color w:val="172B3A"/>
          <w:sz w:val="52"/>
        </w:rPr>
        <w:t>AdFlow</w:t>
      </w:r>
    </w:p>
    <w:p>
      <w:pPr>
        <w:pStyle w:val="Subtitle"/>
      </w:pPr>
      <w:r>
        <w:rPr>
          <w:rFonts w:ascii="Microsoft YaHei" w:hAnsi="Microsoft YaHei" w:eastAsia="Microsoft YaHei"/>
          <w:color w:val="667684"/>
          <w:sz w:val="26"/>
        </w:rPr>
        <w:t>基于 Go 的实时广告决策与智能投放平台</w:t>
      </w:r>
    </w:p>
    <w:p>
      <w:pPr>
        <w:spacing w:after="40"/>
      </w:pPr>
      <w:r>
        <w:rPr>
          <w:rFonts w:ascii="Microsoft YaHei" w:hAnsi="Microsoft YaHei" w:eastAsia="Microsoft YaHei"/>
          <w:b/>
          <w:color w:val="172B3A"/>
          <w:sz w:val="21"/>
        </w:rPr>
        <w:t>文档版本：</w:t>
      </w:r>
      <w:r>
        <w:rPr>
          <w:rFonts w:ascii="Microsoft YaHei" w:hAnsi="Microsoft YaHei" w:eastAsia="Microsoft YaHei"/>
          <w:color w:val="172B3A"/>
          <w:sz w:val="21"/>
        </w:rPr>
        <w:t>v1.1 / MVP</w:t>
      </w:r>
    </w:p>
    <w:p>
      <w:pPr>
        <w:spacing w:after="40"/>
      </w:pPr>
      <w:r>
        <w:rPr>
          <w:rFonts w:ascii="Microsoft YaHei" w:hAnsi="Microsoft YaHei" w:eastAsia="Microsoft YaHei"/>
          <w:b/>
          <w:color w:val="172B3A"/>
          <w:sz w:val="21"/>
        </w:rPr>
        <w:t>状态：</w:t>
      </w:r>
      <w:r>
        <w:rPr>
          <w:rFonts w:ascii="Microsoft YaHei" w:hAnsi="Microsoft YaHei" w:eastAsia="Microsoft YaHei"/>
          <w:color w:val="172B3A"/>
          <w:sz w:val="21"/>
        </w:rPr>
        <w:t>可进入技术设计与开发</w:t>
      </w:r>
    </w:p>
    <w:p>
      <w:pPr>
        <w:spacing w:after="40"/>
      </w:pPr>
      <w:r>
        <w:rPr>
          <w:rFonts w:ascii="Microsoft YaHei" w:hAnsi="Microsoft YaHei" w:eastAsia="Microsoft YaHei"/>
          <w:b/>
          <w:color w:val="172B3A"/>
          <w:sz w:val="21"/>
        </w:rPr>
        <w:t>目标周期：</w:t>
      </w:r>
      <w:r>
        <w:rPr>
          <w:rFonts w:ascii="Microsoft YaHei" w:hAnsi="Microsoft YaHei" w:eastAsia="Microsoft YaHei"/>
          <w:color w:val="172B3A"/>
          <w:sz w:val="21"/>
        </w:rPr>
        <w:t>4–6 周（单人项目）</w:t>
      </w:r>
    </w:p>
    <w:p>
      <w:pPr>
        <w:spacing w:after="40"/>
      </w:pPr>
      <w:r>
        <w:rPr>
          <w:rFonts w:ascii="Microsoft YaHei" w:hAnsi="Microsoft YaHei" w:eastAsia="Microsoft YaHei"/>
          <w:b/>
          <w:color w:val="172B3A"/>
          <w:sz w:val="21"/>
        </w:rPr>
        <w:t>核心技术：</w:t>
      </w:r>
      <w:r>
        <w:rPr>
          <w:rFonts w:ascii="Microsoft YaHei" w:hAnsi="Microsoft YaHei" w:eastAsia="Microsoft YaHei"/>
          <w:color w:val="172B3A"/>
          <w:sz w:val="21"/>
        </w:rPr>
        <w:t>Go、Gin、Validator、Redis、MySQL、Redis Stream、React、TypeScript</w:t>
      </w:r>
    </w:p>
    <w:p>
      <w:pPr>
        <w:spacing w:after="40"/>
      </w:pPr>
      <w:r>
        <w:rPr>
          <w:rFonts w:ascii="Microsoft YaHei" w:hAnsi="Microsoft YaHei" w:eastAsia="Microsoft YaHei"/>
          <w:b/>
          <w:color w:val="172B3A"/>
          <w:sz w:val="21"/>
        </w:rPr>
        <w:t>目标用途：</w:t>
      </w:r>
      <w:r>
        <w:rPr>
          <w:rFonts w:ascii="Microsoft YaHei" w:hAnsi="Microsoft YaHei" w:eastAsia="Microsoft YaHei"/>
          <w:color w:val="172B3A"/>
          <w:sz w:val="21"/>
        </w:rPr>
        <w:t>Go 后端能力证明 / 广告后端岗位 / Agent 全栈展示</w:t>
      </w:r>
    </w:p>
    <w:p>
      <w:pPr>
        <w:spacing w:after="280"/>
        <w:pBdr>
          <w:bottom w:val="single" w:sz="10" w:space="6" w:color="2E74B5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E8EEF5"/>
          <w:left w:val="single" w:sz="2" w:color="E8EEF5"/>
          <w:bottom w:val="single" w:sz="2" w:color="E8EEF5"/>
          <w:right w:val="single" w:sz="2" w:color="E8EEF5"/>
          <w:insideH w:val="single" w:sz="2" w:color="E8EEF5"/>
          <w:insideV w:val="single" w:sz="2" w:color="E8EEF5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2E74B5"/>
                <w:sz w:val="21"/>
              </w:rPr>
              <w:t xml:space="preserve">一句话定义  </w:t>
            </w:r>
            <w:r>
              <w:rPr>
                <w:rFonts w:ascii="Microsoft YaHei" w:hAnsi="Microsoft YaHei" w:eastAsia="Microsoft YaHei"/>
                <w:color w:val="172B3A"/>
                <w:sz w:val="21"/>
              </w:rPr>
              <w:t>AdFlow 允许运营人员配置广告计划、素材、预算和目标人群；在线决策服务在毫秒级完成候选筛选、频控与预算预占；曝光、点击和转化事件异步处理；Agent 仅生成规则草稿，发布前必须人工确认。</w:t>
            </w:r>
          </w:p>
        </w:tc>
      </w:tr>
    </w:tbl>
    <w:p>
      <w:pPr>
        <w:spacing w:after="20"/>
      </w:pPr>
    </w:p>
    <w:p>
      <w:pPr>
        <w:pStyle w:val="Heading1"/>
      </w:pPr>
      <w:r>
        <w:t>1. 产品背景</w:t>
      </w:r>
    </w:p>
    <w:p>
      <w:pPr>
        <w:spacing w:after="120"/>
      </w:pPr>
      <w:r>
        <w:rPr>
          <w:rFonts w:ascii="Microsoft YaHei" w:hAnsi="Microsoft YaHei" w:eastAsia="Microsoft YaHei"/>
          <w:color w:val="172B3A"/>
          <w:sz w:val="21"/>
        </w:rPr>
        <w:t>广告投放系统需要在非常短的时间内，从多个候选广告中选出当前用户最合适的一条，同时满足预算、频次、投放时间和定向规则。传统教学项目通常只展示 CRUD 或秒杀，难以完整体现低延迟决策、并发一致性、异步事件和可观测性。AdFlow 以游戏广告投放为场景，构建一个小而完整、可运行、可压测的后端闭环。</w:t>
      </w:r>
    </w:p>
    <w:p>
      <w:pPr>
        <w:pStyle w:val="Heading1"/>
      </w:pPr>
      <w:r>
        <w:t>2. 产品目标与非目标</w:t>
      </w:r>
    </w:p>
    <w:p>
      <w:pPr>
        <w:pStyle w:val="Heading2"/>
      </w:pPr>
      <w:r>
        <w:t>2.1 MVP目标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运营人员能够创建广告计划、素材、预算、投放周期和人群定向规则。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调用方能够通过统一接口请求广告，并得到命中结果或明确的不投放原因。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系统能够按用户与广告计划执行每日频控，并避免并发请求造成明显超投。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系统能够记录曝光、点击、转化事件，并展示基础投放指标。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Agent 能把自然语言转换为结构化规则草稿，但不能直接发布或修改线上规则。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通过可复现压测获得吞吐量、P95/P99 延迟、错误率和资源占用数据。</w:t>
      </w:r>
    </w:p>
    <w:p>
      <w:pPr>
        <w:pStyle w:val="Heading2"/>
      </w:pPr>
      <w:r>
        <w:t>2.2 非目标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不接入真实广告交易所，不处理真实资金结算。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MVP 不实现复杂机器学习排序、跨设备身份图谱和真实归因模型。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MVP 不拆成大量微服务；优先采用边界清晰的模块化单体。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不承诺金融级强一致预算；先实现可解释的预占、确认、释放和对账机制。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不采集真实个人敏感数据，全部使用模拟用户、标签和事件。</w:t>
      </w:r>
    </w:p>
    <w:p>
      <w:pPr>
        <w:pStyle w:val="Heading1"/>
      </w:pPr>
      <w:r>
        <w:t>3. 用户与核心场景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D5DCE3"/>
          <w:left w:val="single" w:sz="4" w:color="D5DCE3"/>
          <w:bottom w:val="single" w:sz="4" w:color="D5DCE3"/>
          <w:right w:val="single" w:sz="4" w:color="D5DCE3"/>
          <w:insideH w:val="single" w:sz="4" w:color="D5DCE3"/>
          <w:insideV w:val="single" w:sz="4" w:color="D5DCE3"/>
        </w:tblBorders>
      </w:tblPr>
      <w:tblGrid>
        <w:gridCol w:w="1800"/>
        <w:gridCol w:w="3000"/>
        <w:gridCol w:w="4560"/>
      </w:tblGrid>
      <w:tr>
        <w:trPr>
          <w:tblHeader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B3A"/>
                <w:sz w:val="18"/>
              </w:rPr>
              <w:t>角色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B3A"/>
                <w:sz w:val="18"/>
              </w:rPr>
              <w:t>目标</w:t>
            </w:r>
          </w:p>
        </w:tc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B3A"/>
                <w:sz w:val="18"/>
              </w:rPr>
              <w:t>核心操作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8"/>
              </w:rPr>
              <w:t>广告运营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8"/>
              </w:rPr>
              <w:t>安全配置并观察广告计划</w:t>
            </w:r>
          </w:p>
        </w:tc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8"/>
              </w:rPr>
              <w:t>创建计划、配置规则、暂停/发布、查看指标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8"/>
              </w:rPr>
              <w:t>业务调用方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8"/>
              </w:rPr>
              <w:t>低延迟获取可展示广告</w:t>
            </w:r>
          </w:p>
        </w:tc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8"/>
              </w:rPr>
              <w:t>提交用户与广告位信息，接收素材或 No-Ad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8"/>
              </w:rPr>
              <w:t>系统管理员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8"/>
              </w:rPr>
              <w:t>保证服务稳定与可追踪</w:t>
            </w:r>
          </w:p>
        </w:tc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8"/>
              </w:rPr>
              <w:t>查看健康状态、指标、失败事件与审计记录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8"/>
              </w:rPr>
              <w:t>开发者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8"/>
              </w:rPr>
              <w:t>验证架构和性能</w:t>
            </w:r>
          </w:p>
        </w:tc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8"/>
              </w:rPr>
              <w:t>运行测试、压测、故障注入与数据回放</w:t>
            </w:r>
          </w:p>
        </w:tc>
      </w:tr>
    </w:tbl>
    <w:p>
      <w:pPr>
        <w:spacing w:after="40"/>
      </w:pPr>
    </w:p>
    <w:p>
      <w:pPr>
        <w:pStyle w:val="Heading1"/>
      </w:pPr>
      <w:r>
        <w:t>4. 核心业务流程</w:t>
      </w:r>
    </w:p>
    <w:p>
      <w:pPr>
        <w:pStyle w:val="Heading2"/>
      </w:pPr>
      <w:r>
        <w:t>4.1 广告计划发布</w:t>
      </w:r>
    </w:p>
    <w:p>
      <w:pPr>
        <w:pStyle w:val="CodeBlock"/>
        <w:keepLines/>
        <w:shd w:fill="F6F8FA"/>
      </w:pPr>
      <w:r>
        <w:rPr>
          <w:rFonts w:ascii="Consolas" w:hAnsi="Consolas" w:eastAsia="Consolas"/>
          <w:color w:val="1F4D78"/>
          <w:sz w:val="18"/>
        </w:rPr>
        <w:t>创建计划 → 上传素材 → 配置预算/周期/定向/频控 → Agent 可生成规则草稿</w:t>
        <w:br/>
        <w:t>→ JSON Schema 校验 → 人工预览与确认 → 发布 → 生成不可变配置版本</w:t>
      </w:r>
    </w:p>
    <w:p>
      <w:pPr>
        <w:pStyle w:val="Heading2"/>
      </w:pPr>
      <w:r>
        <w:t>4.2 实时广告决策</w:t>
      </w:r>
    </w:p>
    <w:p>
      <w:pPr>
        <w:pStyle w:val="CodeBlock"/>
        <w:keepLines/>
        <w:shd w:fill="F6F8FA"/>
      </w:pPr>
      <w:r>
        <w:rPr>
          <w:rFonts w:ascii="Consolas" w:hAnsi="Consolas" w:eastAsia="Consolas"/>
          <w:color w:val="1F4D78"/>
          <w:sz w:val="18"/>
        </w:rPr>
        <w:t>请求校验 → 加载广告位 → 获取候选计划 → 时间/状态过滤 → 用户标签匹配</w:t>
        <w:br/>
        <w:t>→ 频控检查 → 预算预占 → 评分排序 → 返回广告 → 记录决策日志</w:t>
      </w:r>
    </w:p>
    <w:p>
      <w:pPr>
        <w:pStyle w:val="Heading2"/>
      </w:pPr>
      <w:r>
        <w:t>4.3 事件处理</w:t>
      </w:r>
    </w:p>
    <w:p>
      <w:pPr>
        <w:pStyle w:val="CodeBlock"/>
        <w:keepLines/>
        <w:shd w:fill="F6F8FA"/>
      </w:pPr>
      <w:r>
        <w:rPr>
          <w:rFonts w:ascii="Consolas" w:hAnsi="Consolas" w:eastAsia="Consolas"/>
          <w:color w:val="1F4D78"/>
          <w:sz w:val="18"/>
        </w:rPr>
        <w:t>客户端上报曝光/点击/转化 → 幂等校验 → 写入事件流 → 立即返回</w:t>
        <w:br/>
        <w:t>→ Consumer 异步聚合 → 更新指标 → 曝光确认预算 / 超时释放预占 → 异常进入重试队列</w:t>
      </w:r>
    </w:p>
    <w:p>
      <w:pPr>
        <w:pStyle w:val="Heading1"/>
      </w:pPr>
      <w:r>
        <w:t>5. 功能需求</w:t>
      </w:r>
    </w:p>
    <w:p>
      <w:pPr>
        <w:pStyle w:val="Heading2"/>
      </w:pPr>
      <w:r>
        <w:t>5.1 广告计划管理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D5DCE3"/>
          <w:left w:val="single" w:sz="4" w:color="D5DCE3"/>
          <w:bottom w:val="single" w:sz="4" w:color="D5DCE3"/>
          <w:right w:val="single" w:sz="4" w:color="D5DCE3"/>
          <w:insideH w:val="single" w:sz="4" w:color="D5DCE3"/>
          <w:insideV w:val="single" w:sz="4" w:color="D5DCE3"/>
        </w:tblBorders>
      </w:tblPr>
      <w:tblGrid>
        <w:gridCol w:w="1050"/>
        <w:gridCol w:w="3000"/>
        <w:gridCol w:w="5310"/>
      </w:tblGrid>
      <w:tr>
        <w:trPr>
          <w:tblHeader w:val="true"/>
        </w:trP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B3A"/>
                <w:sz w:val="18"/>
              </w:rPr>
              <w:t>编号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B3A"/>
                <w:sz w:val="18"/>
              </w:rPr>
              <w:t>需求</w:t>
            </w:r>
          </w:p>
        </w:tc>
        <w:tc>
          <w:tcPr>
            <w:tcW w:type="dxa" w:w="5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B3A"/>
                <w:sz w:val="18"/>
              </w:rPr>
              <w:t>验收标准</w:t>
            </w:r>
          </w:p>
        </w:tc>
      </w:tr>
      <w:t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8"/>
              </w:rPr>
              <w:t>FR-101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8"/>
              </w:rPr>
              <w:t>创建、编辑、查询广告计划</w:t>
            </w:r>
          </w:p>
        </w:tc>
        <w:tc>
          <w:tcPr>
            <w:tcW w:type="dxa" w:w="5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8"/>
              </w:rPr>
              <w:t>支持名称、广告位、周期、预算、频控和定向规则</w:t>
            </w:r>
          </w:p>
        </w:tc>
      </w:tr>
      <w:t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8"/>
              </w:rPr>
              <w:t>FR-102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8"/>
              </w:rPr>
              <w:t>计划状态机</w:t>
            </w:r>
          </w:p>
        </w:tc>
        <w:tc>
          <w:tcPr>
            <w:tcW w:type="dxa" w:w="5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8"/>
              </w:rPr>
              <w:t>DRAFT、ACTIVE、PAUSED、ENDED 状态转换合法且可审计</w:t>
            </w:r>
          </w:p>
        </w:tc>
      </w:tr>
      <w:t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8"/>
              </w:rPr>
              <w:t>FR-103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8"/>
              </w:rPr>
              <w:t>配置版本</w:t>
            </w:r>
          </w:p>
        </w:tc>
        <w:tc>
          <w:tcPr>
            <w:tcW w:type="dxa" w:w="5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8"/>
              </w:rPr>
              <w:t>每次发布生成版本；在线请求只读取已发布版本</w:t>
            </w:r>
          </w:p>
        </w:tc>
      </w:tr>
      <w:t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8"/>
              </w:rPr>
              <w:t>FR-104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8"/>
              </w:rPr>
              <w:t>暂停生效</w:t>
            </w:r>
          </w:p>
        </w:tc>
        <w:tc>
          <w:tcPr>
            <w:tcW w:type="dxa" w:w="5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8"/>
              </w:rPr>
              <w:t>暂停后新决策不再返回该计划，目标生效时间不超过5秒</w:t>
            </w:r>
          </w:p>
        </w:tc>
      </w:tr>
    </w:tbl>
    <w:p>
      <w:pPr>
        <w:spacing w:after="40"/>
      </w:pPr>
    </w:p>
    <w:p>
      <w:pPr>
        <w:pStyle w:val="Heading2"/>
      </w:pPr>
      <w:r>
        <w:t>5.2 素材管理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素材包含标题、描述、图片URL、落地页URL、适用广告位与启用状态。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MVP 使用 URL 引用，不负责大型对象存储；可选扩展为 MinIO。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素材必须归属于广告计划，禁用素材不得参与在线决策。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同一计划多素材时，MVP 可使用权重随机或轮询选择。</w:t>
      </w:r>
    </w:p>
    <w:p>
      <w:pPr>
        <w:pStyle w:val="Heading2"/>
      </w:pPr>
      <w:r>
        <w:t>5.3 用户画像与人群规则</w:t>
      </w:r>
    </w:p>
    <w:p>
      <w:pPr>
        <w:spacing w:after="120"/>
      </w:pPr>
      <w:r>
        <w:rPr>
          <w:rFonts w:ascii="Microsoft YaHei" w:hAnsi="Microsoft YaHei" w:eastAsia="Microsoft YaHei"/>
          <w:color w:val="172B3A"/>
          <w:sz w:val="21"/>
        </w:rPr>
        <w:t>MVP 使用模拟用户画像。标签示例包括 anime、strategy_game、active_7d、android、high_value。规则采用声明式 JSON，不执行任意脚本。</w:t>
      </w:r>
    </w:p>
    <w:p>
      <w:pPr>
        <w:pStyle w:val="CodeBlock"/>
        <w:keepLines/>
        <w:shd w:fill="F6F8FA"/>
      </w:pPr>
      <w:r>
        <w:rPr>
          <w:rFonts w:ascii="Consolas" w:hAnsi="Consolas" w:eastAsia="Consolas"/>
          <w:color w:val="1F4D78"/>
          <w:sz w:val="18"/>
        </w:rPr>
        <w:t>{</w:t>
        <w:br/>
        <w:t xml:space="preserve">  "all": [</w:t>
        <w:br/>
        <w:t xml:space="preserve">    {"tag": "anime"},</w:t>
        <w:br/>
        <w:t xml:space="preserve">    {"tag": "strategy_game"},</w:t>
        <w:br/>
        <w:t xml:space="preserve">    {"field": "device", "op": "eq", "value": "android"}</w:t>
        <w:br/>
        <w:t xml:space="preserve">  ],</w:t>
        <w:br/>
        <w:t xml:space="preserve">  "none": [{"tag": "installed_target_game"}]</w:t>
        <w:br/>
        <w:t>}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支持 all、any、none 三组组合条件。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支持标签存在性及少量字段比较：eq、in、gte、lte。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规则必须经过 Schema 校验，并设置最大嵌套层级与最大条件数。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在线决策过程输出可追踪的过滤原因，但外部响应不得泄露内部敏感策略。</w:t>
      </w:r>
    </w:p>
    <w:p>
      <w:pPr>
        <w:pStyle w:val="Heading2"/>
      </w:pPr>
      <w:r>
        <w:t>5.4 实时决策接口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D5DCE3"/>
          <w:left w:val="single" w:sz="4" w:color="D5DCE3"/>
          <w:bottom w:val="single" w:sz="4" w:color="D5DCE3"/>
          <w:right w:val="single" w:sz="4" w:color="D5DCE3"/>
          <w:insideH w:val="single" w:sz="4" w:color="D5DCE3"/>
          <w:insideV w:val="single" w:sz="4" w:color="D5DCE3"/>
        </w:tblBorders>
      </w:tblPr>
      <w:tblGrid>
        <w:gridCol w:w="1050"/>
        <w:gridCol w:w="3100"/>
        <w:gridCol w:w="5210"/>
      </w:tblGrid>
      <w:tr>
        <w:trPr>
          <w:tblHeader w:val="true"/>
        </w:trP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B3A"/>
                <w:sz w:val="18"/>
              </w:rPr>
              <w:t>编号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B3A"/>
                <w:sz w:val="18"/>
              </w:rPr>
              <w:t>需求</w:t>
            </w:r>
          </w:p>
        </w:tc>
        <w:tc>
          <w:tcPr>
            <w:tcW w:type="dxa" w:w="5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B3A"/>
                <w:sz w:val="18"/>
              </w:rPr>
              <w:t>验收标准</w:t>
            </w:r>
          </w:p>
        </w:tc>
      </w:tr>
      <w:t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8"/>
              </w:rPr>
              <w:t>FR-401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8"/>
              </w:rPr>
              <w:t>统一决策入口</w:t>
            </w:r>
          </w:p>
        </w:tc>
        <w:tc>
          <w:tcPr>
            <w:tcW w:type="dxa" w:w="5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8"/>
              </w:rPr>
              <w:t>POST /v1/decisions，支持 requestId、userId、slotId 和上下文</w:t>
            </w:r>
          </w:p>
        </w:tc>
      </w:tr>
      <w:t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8"/>
              </w:rPr>
              <w:t>FR-402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8"/>
              </w:rPr>
              <w:t>候选过滤</w:t>
            </w:r>
          </w:p>
        </w:tc>
        <w:tc>
          <w:tcPr>
            <w:tcW w:type="dxa" w:w="5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8"/>
              </w:rPr>
              <w:t>按状态、周期、素材、定向、频控和预算依次过滤</w:t>
            </w:r>
          </w:p>
        </w:tc>
      </w:tr>
      <w:t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8"/>
              </w:rPr>
              <w:t>FR-403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8"/>
              </w:rPr>
              <w:t>确定性结果</w:t>
            </w:r>
          </w:p>
        </w:tc>
        <w:tc>
          <w:tcPr>
            <w:tcW w:type="dxa" w:w="5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8"/>
              </w:rPr>
              <w:t>同一请求ID重复提交返回同一决策结果或明确冲突</w:t>
            </w:r>
          </w:p>
        </w:tc>
      </w:tr>
      <w:t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8"/>
              </w:rPr>
              <w:t>FR-404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8"/>
              </w:rPr>
              <w:t>No-Ad原因</w:t>
            </w:r>
          </w:p>
        </w:tc>
        <w:tc>
          <w:tcPr>
            <w:tcW w:type="dxa" w:w="5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8"/>
              </w:rPr>
              <w:t>无候选、频控、预算、超时等原因可在调试模式查看</w:t>
            </w:r>
          </w:p>
        </w:tc>
      </w:tr>
      <w:t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8"/>
              </w:rPr>
              <w:t>FR-405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8"/>
              </w:rPr>
              <w:t>降级</w:t>
            </w:r>
          </w:p>
        </w:tc>
        <w:tc>
          <w:tcPr>
            <w:tcW w:type="dxa" w:w="5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8"/>
              </w:rPr>
              <w:t>Redis或画像服务异常时按配置 No-Ad，不返回未经校验广告</w:t>
            </w:r>
          </w:p>
        </w:tc>
      </w:tr>
    </w:tbl>
    <w:p>
      <w:pPr>
        <w:spacing w:after="40"/>
      </w:pPr>
    </w:p>
    <w:p>
      <w:pPr>
        <w:pStyle w:val="Heading2"/>
      </w:pPr>
      <w:r>
        <w:t>5.5 频控</w:t>
      </w:r>
    </w:p>
    <w:p>
      <w:pPr>
        <w:spacing w:after="120"/>
      </w:pPr>
      <w:r>
        <w:rPr>
          <w:rFonts w:ascii="Microsoft YaHei" w:hAnsi="Microsoft YaHei" w:eastAsia="Microsoft YaHei"/>
          <w:color w:val="172B3A"/>
          <w:sz w:val="21"/>
        </w:rPr>
        <w:t>频控用于限制同一用户在指定时间窗口内看到同一计划的次数。MVP支持“用户 + 计划 + 自然日”维度。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决策时执行频控预占，曝光确认后转为正式计数。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未产生曝光的预占在短 TTL 后自动释放，避免只请求不展示导致次数耗尽。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使用 Redis Lua 将读取、判断、递增与过期时间设置组合为原子操作。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重复曝光事件通过 eventId 幂等，不重复增加计数。</w:t>
      </w:r>
    </w:p>
    <w:p>
      <w:pPr>
        <w:pStyle w:val="Heading2"/>
      </w:pPr>
      <w:r>
        <w:t>5.6 预算控制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FFF6DD"/>
          <w:left w:val="single" w:sz="2" w:color="FFF6DD"/>
          <w:bottom w:val="single" w:sz="2" w:color="FFF6DD"/>
          <w:right w:val="single" w:sz="2" w:color="FFF6DD"/>
          <w:insideH w:val="single" w:sz="2" w:color="FFF6DD"/>
          <w:insideV w:val="single" w:sz="2" w:color="FFF6DD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6DD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7A5A00"/>
                <w:sz w:val="21"/>
              </w:rPr>
              <w:t xml:space="preserve">设计取舍  </w:t>
            </w:r>
            <w:r>
              <w:rPr>
                <w:rFonts w:ascii="Microsoft YaHei" w:hAnsi="Microsoft YaHei" w:eastAsia="Microsoft YaHei"/>
                <w:color w:val="172B3A"/>
                <w:sz w:val="21"/>
              </w:rPr>
              <w:t>在线决策阶段先预占预算，曝光事件到达后确认；未曝光或超时则释放。Redis负责低延迟在线控制，MySQL保存权威账本并由对账任务修正差异。</w:t>
            </w:r>
          </w:p>
        </w:tc>
      </w:tr>
    </w:tbl>
    <w:p>
      <w:pPr>
        <w:spacing w:after="20"/>
      </w:pP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金额统一使用最小货币单位的整数，禁止浮点数参与扣减。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Lua 原子执行剩余预算校验与预占，防止高并发下超扣。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预占记录关联 requestId，确认和释放操作必须幂等。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定时对账比较 Redis 快照与 MySQL 账本，输出差异但不静默吞掉异常。</w:t>
      </w:r>
    </w:p>
    <w:p>
      <w:pPr>
        <w:pStyle w:val="Heading2"/>
      </w:pPr>
      <w:r>
        <w:t>5.7 事件采集与指标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D5DCE3"/>
          <w:left w:val="single" w:sz="4" w:color="D5DCE3"/>
          <w:bottom w:val="single" w:sz="4" w:color="D5DCE3"/>
          <w:right w:val="single" w:sz="4" w:color="D5DCE3"/>
          <w:insideH w:val="single" w:sz="4" w:color="D5DCE3"/>
          <w:insideV w:val="single" w:sz="4" w:color="D5DCE3"/>
        </w:tblBorders>
      </w:tblPr>
      <w:tblGrid>
        <w:gridCol w:w="1450"/>
        <w:gridCol w:w="2200"/>
        <w:gridCol w:w="3200"/>
        <w:gridCol w:w="2510"/>
      </w:tblGrid>
      <w:tr>
        <w:trPr>
          <w:tblHeader w:val="true"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B3A"/>
                <w:sz w:val="18"/>
              </w:rPr>
              <w:t>事件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B3A"/>
                <w:sz w:val="18"/>
              </w:rPr>
              <w:t>触发时机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B3A"/>
                <w:sz w:val="18"/>
              </w:rPr>
              <w:t>主要字段</w:t>
            </w:r>
          </w:p>
        </w:tc>
        <w:tc>
          <w:tcPr>
            <w:tcW w:type="dxa" w:w="2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B3A"/>
                <w:sz w:val="18"/>
              </w:rPr>
              <w:t>处理结果</w:t>
            </w:r>
          </w:p>
        </w:tc>
      </w:tr>
      <w:t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impression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素材实际可见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eventId/requestId/userId/campaignId</w:t>
            </w:r>
          </w:p>
        </w:tc>
        <w:tc>
          <w:tcPr>
            <w:tcW w:type="dxa" w:w="2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确认预算、增加曝光与频控</w:t>
            </w:r>
          </w:p>
        </w:tc>
      </w:tr>
      <w:t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click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用户点击素材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eventId/requestId/campaignId/timestamp</w:t>
            </w:r>
          </w:p>
        </w:tc>
        <w:tc>
          <w:tcPr>
            <w:tcW w:type="dxa" w:w="2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增加点击、计算CTR</w:t>
            </w:r>
          </w:p>
        </w:tc>
      </w:tr>
      <w:t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conversion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模拟激活或付费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eventId/requestId/value/timestamp</w:t>
            </w:r>
          </w:p>
        </w:tc>
        <w:tc>
          <w:tcPr>
            <w:tcW w:type="dxa" w:w="2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增加转化、计算CVR</w:t>
            </w:r>
          </w:p>
        </w:tc>
      </w:tr>
    </w:tbl>
    <w:p>
      <w:pPr>
        <w:spacing w:after="40"/>
      </w:pPr>
    </w:p>
    <w:p>
      <w:pPr>
        <w:pStyle w:val="Heading2"/>
      </w:pPr>
      <w:r>
        <w:t>5.8 Agent规则助手</w:t>
      </w:r>
    </w:p>
    <w:p>
      <w:pPr>
        <w:pStyle w:val="CodeBlock"/>
        <w:keepLines/>
        <w:shd w:fill="F6F8FA"/>
      </w:pPr>
      <w:r>
        <w:rPr>
          <w:rFonts w:ascii="Consolas" w:hAnsi="Consolas" w:eastAsia="Consolas"/>
          <w:color w:val="1F4D78"/>
          <w:sz w:val="18"/>
        </w:rPr>
        <w:t>自然语言 → LLM/Agent → RuleDraft(JSON) → Schema 校验 → 风险提示</w:t>
        <w:br/>
        <w:t>→ 人工确认 → 普通后端 API 保存 → 发布新版本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Agent只能调用读取计划、生成草稿和解释规则工具，不能调用发布接口。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所有生成结果必须满足 JSON Schema；不合法时拒绝保存并返回具体错误。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确认页面同时展示自然语言解释和最终 JSON，防止隐藏条件。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保存 promptVersion、model、生成时间和确认人，形成审计记录。</w:t>
      </w:r>
    </w:p>
    <w:p>
      <w:pPr>
        <w:pStyle w:val="Heading1"/>
      </w:pPr>
      <w:r>
        <w:t>6. 状态与规则</w:t>
      </w:r>
    </w:p>
    <w:p>
      <w:pPr>
        <w:pStyle w:val="Heading2"/>
      </w:pPr>
      <w:r>
        <w:t>6.1 广告计划状态机</w:t>
      </w:r>
    </w:p>
    <w:p>
      <w:pPr>
        <w:pStyle w:val="CodeBlock"/>
        <w:keepLines/>
        <w:shd w:fill="F6F8FA"/>
      </w:pPr>
      <w:r>
        <w:rPr>
          <w:rFonts w:ascii="Consolas" w:hAnsi="Consolas" w:eastAsia="Consolas"/>
          <w:color w:val="1F4D78"/>
          <w:sz w:val="18"/>
        </w:rPr>
        <w:t>DRAFT ──发布──▶ ACTIVE ──暂停──▶ PAUSED</w:t>
        <w:br/>
        <w:t xml:space="preserve">  ▲                 │              │</w:t>
        <w:br/>
        <w:t xml:space="preserve">  └────编辑新版本────┘              └──恢复──▶ ACTIVE</w:t>
        <w:br/>
        <w:t xml:space="preserve">                    └────到期──────────────▶ ENDED</w:t>
      </w:r>
    </w:p>
    <w:p>
      <w:pPr>
        <w:spacing w:after="120"/>
      </w:pPr>
      <w:r>
        <w:rPr>
          <w:rFonts w:ascii="Microsoft YaHei" w:hAnsi="Microsoft YaHei" w:eastAsia="Microsoft YaHei"/>
          <w:color w:val="172B3A"/>
          <w:sz w:val="21"/>
        </w:rPr>
        <w:t>ACTIVE版本不可原地修改。运营编辑时基于当前版本生成新的 DRAFT，重新校验并发布，以避免在线请求读到部分更新。</w:t>
      </w:r>
    </w:p>
    <w:p>
      <w:pPr>
        <w:pStyle w:val="Heading2"/>
      </w:pPr>
      <w:r>
        <w:t>6.2 决策过滤顺序</w:t>
      </w:r>
    </w:p>
    <w:p>
      <w:pPr>
        <w:pStyle w:val="ListNumber"/>
      </w:pPr>
      <w:r>
        <w:rPr>
          <w:rFonts w:ascii="Microsoft YaHei" w:hAnsi="Microsoft YaHei" w:eastAsia="Microsoft YaHei"/>
          <w:color w:val="172B3A"/>
          <w:sz w:val="21"/>
        </w:rPr>
        <w:t>计划状态与投放时间：最便宜的判断优先执行。</w:t>
      </w:r>
    </w:p>
    <w:p>
      <w:pPr>
        <w:pStyle w:val="ListNumber"/>
      </w:pPr>
      <w:r>
        <w:rPr>
          <w:rFonts w:ascii="Microsoft YaHei" w:hAnsi="Microsoft YaHei" w:eastAsia="Microsoft YaHei"/>
          <w:color w:val="172B3A"/>
          <w:sz w:val="21"/>
        </w:rPr>
        <w:t>广告位与素材可用性：排除不适配或无素材计划。</w:t>
      </w:r>
    </w:p>
    <w:p>
      <w:pPr>
        <w:pStyle w:val="ListNumber"/>
      </w:pPr>
      <w:r>
        <w:rPr>
          <w:rFonts w:ascii="Microsoft YaHei" w:hAnsi="Microsoft YaHei" w:eastAsia="Microsoft YaHei"/>
          <w:color w:val="172B3A"/>
          <w:sz w:val="21"/>
        </w:rPr>
        <w:t>人群定向：根据用户画像执行声明式规则。</w:t>
      </w:r>
    </w:p>
    <w:p>
      <w:pPr>
        <w:pStyle w:val="ListNumber"/>
      </w:pPr>
      <w:r>
        <w:rPr>
          <w:rFonts w:ascii="Microsoft YaHei" w:hAnsi="Microsoft YaHei" w:eastAsia="Microsoft YaHei"/>
          <w:color w:val="172B3A"/>
          <w:sz w:val="21"/>
        </w:rPr>
        <w:t>频控：查询并预占展示次数。</w:t>
      </w:r>
    </w:p>
    <w:p>
      <w:pPr>
        <w:pStyle w:val="ListNumber"/>
      </w:pPr>
      <w:r>
        <w:rPr>
          <w:rFonts w:ascii="Microsoft YaHei" w:hAnsi="Microsoft YaHei" w:eastAsia="Microsoft YaHei"/>
          <w:color w:val="172B3A"/>
          <w:sz w:val="21"/>
        </w:rPr>
        <w:t>预算：原子预占单次曝光成本。</w:t>
      </w:r>
    </w:p>
    <w:p>
      <w:pPr>
        <w:pStyle w:val="ListNumber"/>
      </w:pPr>
      <w:r>
        <w:rPr>
          <w:rFonts w:ascii="Microsoft YaHei" w:hAnsi="Microsoft YaHei" w:eastAsia="Microsoft YaHei"/>
          <w:color w:val="172B3A"/>
          <w:sz w:val="21"/>
        </w:rPr>
        <w:t>排序：MVP按优先级、匹配分和权重选择。</w:t>
      </w:r>
    </w:p>
    <w:p>
      <w:pPr>
        <w:pStyle w:val="Heading1"/>
      </w:pPr>
      <w:r>
        <w:t>7. 数据模型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D5DCE3"/>
          <w:left w:val="single" w:sz="4" w:color="D5DCE3"/>
          <w:bottom w:val="single" w:sz="4" w:color="D5DCE3"/>
          <w:right w:val="single" w:sz="4" w:color="D5DCE3"/>
          <w:insideH w:val="single" w:sz="4" w:color="D5DCE3"/>
          <w:insideV w:val="single" w:sz="4" w:color="D5DCE3"/>
        </w:tblBorders>
      </w:tblPr>
      <w:tblGrid>
        <w:gridCol w:w="1800"/>
        <w:gridCol w:w="4200"/>
        <w:gridCol w:w="3360"/>
      </w:tblGrid>
      <w:tr>
        <w:trPr>
          <w:tblHeader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B3A"/>
                <w:sz w:val="18"/>
              </w:rPr>
              <w:t>实体</w:t>
            </w:r>
          </w:p>
        </w:tc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B3A"/>
                <w:sz w:val="18"/>
              </w:rPr>
              <w:t>关键字段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B3A"/>
                <w:sz w:val="18"/>
              </w:rPr>
              <w:t>说明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campaign</w:t>
            </w:r>
          </w:p>
        </w:tc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id/name/status/slot/startAt/endAt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广告计划主记录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campaign_version</w:t>
            </w:r>
          </w:p>
        </w:tc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campaignId/version/rule/budget/frequency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不可变已发布配置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creative</w:t>
            </w:r>
          </w:p>
        </w:tc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id/campaignId/title/imageUrl/landingUrl/status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广告素材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user_profile</w:t>
            </w:r>
          </w:p>
        </w:tc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userId/tags/device/updatedAt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模拟用户画像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decision</w:t>
            </w:r>
          </w:p>
        </w:tc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requestId/userId/slot/campaignId/reason/latency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决策审计日志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budget_ledger</w:t>
            </w:r>
          </w:p>
        </w:tc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operationId/campaignId/type/amount/requestId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预算预占、确认、释放账本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ad_event</w:t>
            </w:r>
          </w:p>
        </w:tc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eventId/type/requestId/campaignId/eventAt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曝光点击转化原始事件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metric_daily</w:t>
            </w:r>
          </w:p>
        </w:tc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date/campaignId/impressions/clicks/conversions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按日聚合指标</w:t>
            </w:r>
          </w:p>
        </w:tc>
      </w:tr>
    </w:tbl>
    <w:p>
      <w:pPr>
        <w:spacing w:after="40"/>
      </w:pPr>
    </w:p>
    <w:p>
      <w:pPr>
        <w:pStyle w:val="Heading2"/>
      </w:pPr>
      <w:r>
        <w:t>7.1 Redis Key设计</w:t>
      </w:r>
    </w:p>
    <w:p>
      <w:pPr>
        <w:pStyle w:val="CodeBlock"/>
        <w:keepLines/>
        <w:shd w:fill="F6F8FA"/>
      </w:pPr>
      <w:r>
        <w:rPr>
          <w:rFonts w:ascii="Consolas" w:hAnsi="Consolas" w:eastAsia="Consolas"/>
          <w:color w:val="1F4D78"/>
          <w:sz w:val="18"/>
        </w:rPr>
        <w:t>adflow:campaign:active:{slotId}           # 活跃计划集合</w:t>
        <w:br/>
        <w:t>adflow:profile:{userId}                   # 用户标签缓存</w:t>
        <w:br/>
        <w:t>adflow:freq:{date}:{campaignId}:{userId}  # 频控计数/预占</w:t>
        <w:br/>
        <w:t>adflow:budget:{campaignId}                # 可用预算</w:t>
        <w:br/>
        <w:t>adflow:reservation:{requestId}            # 预算与频控预占</w:t>
        <w:br/>
        <w:t>adflow:idempotency:event:{eventId}        # 事件幂等标记</w:t>
      </w:r>
    </w:p>
    <w:p>
      <w:pPr>
        <w:pStyle w:val="Heading1"/>
      </w:pPr>
      <w:r>
        <w:t>8. API需求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D5DCE3"/>
          <w:left w:val="single" w:sz="4" w:color="D5DCE3"/>
          <w:bottom w:val="single" w:sz="4" w:color="D5DCE3"/>
          <w:right w:val="single" w:sz="4" w:color="D5DCE3"/>
          <w:insideH w:val="single" w:sz="4" w:color="D5DCE3"/>
          <w:insideV w:val="single" w:sz="4" w:color="D5DCE3"/>
        </w:tblBorders>
      </w:tblPr>
      <w:tblGrid>
        <w:gridCol w:w="1000"/>
        <w:gridCol w:w="3200"/>
        <w:gridCol w:w="3200"/>
        <w:gridCol w:w="1960"/>
      </w:tblGrid>
      <w:tr>
        <w:trPr>
          <w:tblHeader w:val="true"/>
        </w:trPr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B3A"/>
                <w:sz w:val="18"/>
              </w:rPr>
              <w:t>方法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B3A"/>
                <w:sz w:val="18"/>
              </w:rPr>
              <w:t>路径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B3A"/>
                <w:sz w:val="18"/>
              </w:rPr>
              <w:t>用途</w:t>
            </w:r>
          </w:p>
        </w:tc>
        <w:tc>
          <w:tcPr>
            <w:tcW w:type="dxa" w:w="1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B3A"/>
                <w:sz w:val="18"/>
              </w:rPr>
              <w:t>幂等要求</w:t>
            </w:r>
          </w:p>
        </w:tc>
      </w:tr>
      <w:tr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POST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/v1/campaigns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创建草稿计划</w:t>
            </w:r>
          </w:p>
        </w:tc>
        <w:tc>
          <w:tcPr>
            <w:tcW w:type="dxa" w:w="1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客户端幂等键可选</w:t>
            </w:r>
          </w:p>
        </w:tc>
      </w:tr>
      <w:tr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POST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/v1/campaigns/{id}/publish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校验并发布新版本</w:t>
            </w:r>
          </w:p>
        </w:tc>
        <w:tc>
          <w:tcPr>
            <w:tcW w:type="dxa" w:w="1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重复发布返回同一版本</w:t>
            </w:r>
          </w:p>
        </w:tc>
      </w:tr>
      <w:tr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POST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/v1/campaigns/{id}/pause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暂停计划</w:t>
            </w:r>
          </w:p>
        </w:tc>
        <w:tc>
          <w:tcPr>
            <w:tcW w:type="dxa" w:w="1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幂等</w:t>
            </w:r>
          </w:p>
        </w:tc>
      </w:tr>
      <w:tr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POST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/v1/decisions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实时请求广告</w:t>
            </w:r>
          </w:p>
        </w:tc>
        <w:tc>
          <w:tcPr>
            <w:tcW w:type="dxa" w:w="1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requestId强制幂等</w:t>
            </w:r>
          </w:p>
        </w:tc>
      </w:tr>
      <w:tr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POST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/v1/events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上报曝光/点击/转化</w:t>
            </w:r>
          </w:p>
        </w:tc>
        <w:tc>
          <w:tcPr>
            <w:tcW w:type="dxa" w:w="1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eventId强制幂等</w:t>
            </w:r>
          </w:p>
        </w:tc>
      </w:tr>
      <w:tr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GET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/v1/campaigns/{id}/metrics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查询计划指标</w:t>
            </w:r>
          </w:p>
        </w:tc>
        <w:tc>
          <w:tcPr>
            <w:tcW w:type="dxa" w:w="1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只读</w:t>
            </w:r>
          </w:p>
        </w:tc>
      </w:tr>
      <w:tr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POST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/v1/agent/rule-drafts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生成规则草稿</w:t>
            </w:r>
          </w:p>
        </w:tc>
        <w:tc>
          <w:tcPr>
            <w:tcW w:type="dxa" w:w="1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不产生发布副作用</w:t>
            </w:r>
          </w:p>
        </w:tc>
      </w:tr>
    </w:tbl>
    <w:p>
      <w:pPr>
        <w:spacing w:after="40"/>
      </w:pPr>
    </w:p>
    <w:p>
      <w:pPr>
        <w:pStyle w:val="Heading2"/>
      </w:pPr>
      <w:r>
        <w:t>8.1 决策接口示例</w:t>
      </w:r>
    </w:p>
    <w:p>
      <w:pPr>
        <w:pStyle w:val="CodeBlock"/>
        <w:keepLines/>
        <w:shd w:fill="F6F8FA"/>
      </w:pPr>
      <w:r>
        <w:rPr>
          <w:rFonts w:ascii="Consolas" w:hAnsi="Consolas" w:eastAsia="Consolas"/>
          <w:color w:val="1F4D78"/>
          <w:sz w:val="18"/>
        </w:rPr>
        <w:t>POST /v1/decisions</w:t>
        <w:br/>
        <w:t>{</w:t>
        <w:br/>
        <w:t xml:space="preserve">  "requestId": "req-20260902-001",</w:t>
        <w:br/>
        <w:t xml:space="preserve">  "userId": "user-10001",</w:t>
        <w:br/>
        <w:t xml:space="preserve">  "slotId": "game-home-banner",</w:t>
        <w:br/>
        <w:t xml:space="preserve">  "context": {"device": "android", "region": "shanghai"}</w:t>
        <w:br/>
        <w:t>}</w:t>
        <w:br/>
        <w:br/>
        <w:t>200 OK</w:t>
        <w:br/>
        <w:t>{</w:t>
        <w:br/>
        <w:t xml:space="preserve">  "matched": true,</w:t>
        <w:br/>
        <w:t xml:space="preserve">  "campaignId": "cmp-100",</w:t>
        <w:br/>
        <w:t xml:space="preserve">  "creativeId": "crt-201",</w:t>
        <w:br/>
        <w:t xml:space="preserve">  "reservationToken": "rsv-...",</w:t>
        <w:br/>
        <w:t xml:space="preserve">  "expiresInMs": 30000</w:t>
        <w:br/>
        <w:t>}</w:t>
      </w:r>
    </w:p>
    <w:p>
      <w:pPr>
        <w:pStyle w:val="Heading1"/>
      </w:pPr>
      <w:r>
        <w:t>9. 技术架构建议</w:t>
      </w:r>
    </w:p>
    <w:p>
      <w:pPr>
        <w:pStyle w:val="CodeBlock"/>
        <w:keepLines/>
        <w:shd w:fill="F6F8FA"/>
      </w:pPr>
      <w:r>
        <w:rPr>
          <w:rFonts w:ascii="Consolas" w:hAnsi="Consolas" w:eastAsia="Consolas"/>
          <w:color w:val="1F4D78"/>
          <w:sz w:val="18"/>
        </w:rPr>
        <w:t>React 管理后台</w:t>
        <w:br/>
        <w:t xml:space="preserve">       │ REST</w:t>
        <w:br/>
        <w:t xml:space="preserve">       ▼</w:t>
        <w:br/>
        <w:t>Gin API / Decision Runtime ────── Redis（候选、画像、频控、预算、幂等）</w:t>
        <w:br/>
        <w:t xml:space="preserve">       │                    └──── Redis Stream（事件队列）</w:t>
        <w:br/>
        <w:t xml:space="preserve">       ├──── MySQL（配置、账本、原始事件、聚合指标）</w:t>
        <w:br/>
        <w:t xml:space="preserve">       ├──── Worker（事件消费、对账、指标聚合）</w:t>
        <w:br/>
        <w:t xml:space="preserve">       └──── Agent Adapter（只生成 RuleDraft）</w:t>
      </w:r>
    </w:p>
    <w:p>
      <w:pPr>
        <w:pStyle w:val="Heading2"/>
      </w:pPr>
      <w:r>
        <w:t>9.1 Go模块边界</w:t>
      </w:r>
    </w:p>
    <w:p>
      <w:pPr>
        <w:pStyle w:val="CodeBlock"/>
        <w:keepLines/>
        <w:shd w:fill="F6F8FA"/>
      </w:pPr>
      <w:r>
        <w:rPr>
          <w:rFonts w:ascii="Consolas" w:hAnsi="Consolas" w:eastAsia="Consolas"/>
          <w:color w:val="1F4D78"/>
          <w:sz w:val="18"/>
        </w:rPr>
        <w:t>cmd/api</w:t>
        <w:br/>
        <w:t>internal/transport/http # Gin Router、Handler、Middleware、DTO</w:t>
        <w:br/>
        <w:t>internal/campaign       # 计划、素材、版本与状态机</w:t>
        <w:br/>
        <w:t>internal/decision       # 候选过滤、评分与结果生成</w:t>
        <w:br/>
        <w:t>internal/profile        # 用户画像和缓存</w:t>
        <w:br/>
        <w:t>internal/frequency      # 频控预占/确认/释放</w:t>
        <w:br/>
        <w:t>internal/budget         # 预算账本与Lua原子操作</w:t>
        <w:br/>
        <w:t>internal/event          # 事件入口、Stream生产与消费</w:t>
        <w:br/>
        <w:t>internal/agent          # 规则草稿生成及Schema校验</w:t>
        <w:br/>
        <w:t>internal/observability  # 日志、指标、trace</w:t>
        <w:br/>
        <w:t>internal/storage        # MySQL/Redis adapters</w:t>
      </w:r>
    </w:p>
    <w:p>
      <w:pPr>
        <w:spacing w:after="120"/>
      </w:pPr>
      <w:r>
        <w:rPr>
          <w:rFonts w:ascii="Microsoft YaHei" w:hAnsi="Microsoft YaHei" w:eastAsia="Microsoft YaHei"/>
          <w:color w:val="172B3A"/>
          <w:sz w:val="21"/>
        </w:rPr>
        <w:t>MVP使用模块化单体，所有模块通过接口依赖抽象存储。只有在压测或故障隔离证明有必要时，才拆出独立 Decision Runtime 或 Event Worker。</w:t>
      </w:r>
    </w:p>
    <w:p>
      <w:pPr>
        <w:pStyle w:val="Heading2"/>
      </w:pPr>
      <w:r>
        <w:t>9.2 Gin使用边界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Gin只位于HTTP传输层，负责路由分组、参数绑定、错误响应和中间件编排。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使用 go-playground/validator 校验请求DTO；校验失败统一返回字段级错误。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领域服务和Repository不得依赖 gin.Context，统一接收标准 context.Context。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将 Gin Engine 挂载到 net/http.Server，继续显式设置读写超时并实现优雅关闭。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自定义 Request ID、访问日志、Recovery、鉴权和超时中间件，避免业务Handler重复。</w:t>
      </w:r>
    </w:p>
    <w:p>
      <w:pPr>
        <w:pStyle w:val="Heading1"/>
      </w:pPr>
      <w:r>
        <w:t>10. 非功能需求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D5DCE3"/>
          <w:left w:val="single" w:sz="4" w:color="D5DCE3"/>
          <w:bottom w:val="single" w:sz="4" w:color="D5DCE3"/>
          <w:right w:val="single" w:sz="4" w:color="D5DCE3"/>
          <w:insideH w:val="single" w:sz="4" w:color="D5DCE3"/>
          <w:insideV w:val="single" w:sz="4" w:color="D5DCE3"/>
        </w:tblBorders>
      </w:tblPr>
      <w:tblGrid>
        <w:gridCol w:w="1550"/>
        <w:gridCol w:w="4800"/>
        <w:gridCol w:w="3010"/>
      </w:tblGrid>
      <w:tr>
        <w:trPr>
          <w:tblHeader w:val="true"/>
        </w:trPr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B3A"/>
                <w:sz w:val="18"/>
              </w:rPr>
              <w:t>维度</w:t>
            </w:r>
          </w:p>
        </w:tc>
        <w:tc>
          <w:tcPr>
            <w:tcW w:type="dxa" w:w="4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B3A"/>
                <w:sz w:val="18"/>
              </w:rPr>
              <w:t>MVP目标</w:t>
            </w:r>
          </w:p>
        </w:tc>
        <w:tc>
          <w:tcPr>
            <w:tcW w:type="dxa" w:w="3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B3A"/>
                <w:sz w:val="18"/>
              </w:rPr>
              <w:t>验证方式</w:t>
            </w:r>
          </w:p>
        </w:tc>
      </w:tr>
      <w:tr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延迟</w:t>
            </w:r>
          </w:p>
        </w:tc>
        <w:tc>
          <w:tcPr>
            <w:tcW w:type="dxa" w:w="4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决策接口 P95 ≤ 30ms，P99 ≤ 80ms（本地压测环境）</w:t>
            </w:r>
          </w:p>
        </w:tc>
        <w:tc>
          <w:tcPr>
            <w:tcW w:type="dxa" w:w="3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k6固定数据集压测</w:t>
            </w:r>
          </w:p>
        </w:tc>
      </w:tr>
      <w:tr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吞吐</w:t>
            </w:r>
          </w:p>
        </w:tc>
        <w:tc>
          <w:tcPr>
            <w:tcW w:type="dxa" w:w="4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单实例达到实测目标；不预填虚假QPS</w:t>
            </w:r>
          </w:p>
        </w:tc>
        <w:tc>
          <w:tcPr>
            <w:tcW w:type="dxa" w:w="3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逐级加压并记录拐点</w:t>
            </w:r>
          </w:p>
        </w:tc>
      </w:tr>
      <w:tr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可用性</w:t>
            </w:r>
          </w:p>
        </w:tc>
        <w:tc>
          <w:tcPr>
            <w:tcW w:type="dxa" w:w="4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Redis异常时快速 No-Ad，不阻塞超过总超时</w:t>
            </w:r>
          </w:p>
        </w:tc>
        <w:tc>
          <w:tcPr>
            <w:tcW w:type="dxa" w:w="3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故障注入</w:t>
            </w:r>
          </w:p>
        </w:tc>
      </w:tr>
      <w:tr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正确性</w:t>
            </w:r>
          </w:p>
        </w:tc>
        <w:tc>
          <w:tcPr>
            <w:tcW w:type="dxa" w:w="4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预算与频控不出现无界超扣；重复事件不重复计数</w:t>
            </w:r>
          </w:p>
        </w:tc>
        <w:tc>
          <w:tcPr>
            <w:tcW w:type="dxa" w:w="3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并发与幂等测试</w:t>
            </w:r>
          </w:p>
        </w:tc>
      </w:tr>
      <w:tr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可观测性</w:t>
            </w:r>
          </w:p>
        </w:tc>
        <w:tc>
          <w:tcPr>
            <w:tcW w:type="dxa" w:w="4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请求可通过 requestId 关联决策、预占和事件</w:t>
            </w:r>
          </w:p>
        </w:tc>
        <w:tc>
          <w:tcPr>
            <w:tcW w:type="dxa" w:w="3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日志与Trace查询</w:t>
            </w:r>
          </w:p>
        </w:tc>
      </w:tr>
      <w:tr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安全</w:t>
            </w:r>
          </w:p>
        </w:tc>
        <w:tc>
          <w:tcPr>
            <w:tcW w:type="dxa" w:w="4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Agent无发布权限；管理接口与外部决策接口隔离</w:t>
            </w:r>
          </w:p>
        </w:tc>
        <w:tc>
          <w:tcPr>
            <w:tcW w:type="dxa" w:w="3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权限测试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EAF4EA"/>
          <w:left w:val="single" w:sz="2" w:color="EAF4EA"/>
          <w:bottom w:val="single" w:sz="2" w:color="EAF4EA"/>
          <w:right w:val="single" w:sz="2" w:color="EAF4EA"/>
          <w:insideH w:val="single" w:sz="2" w:color="EAF4EA"/>
          <w:insideV w:val="single" w:sz="2" w:color="EAF4EA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4E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2F6B3A"/>
                <w:sz w:val="21"/>
              </w:rPr>
              <w:t xml:space="preserve">指标原则  </w:t>
            </w:r>
            <w:r>
              <w:rPr>
                <w:rFonts w:ascii="Microsoft YaHei" w:hAnsi="Microsoft YaHei" w:eastAsia="Microsoft YaHei"/>
                <w:color w:val="172B3A"/>
                <w:sz w:val="21"/>
              </w:rPr>
              <w:t>PRD给出目标而不是简历数字。简历中的QPS、P99、资源使用与优化比例必须来自可重复压测，并同时记录机器配置、数据规模、并发模型和测试脚本。</w:t>
            </w:r>
          </w:p>
        </w:tc>
      </w:tr>
    </w:tbl>
    <w:p>
      <w:pPr>
        <w:spacing w:after="20"/>
      </w:pPr>
    </w:p>
    <w:p>
      <w:pPr>
        <w:pStyle w:val="Heading1"/>
      </w:pPr>
      <w:r>
        <w:t>11. 可观测性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HTTP指标：请求量、状态码、P50/P95/P99、超时数。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决策指标：候选数、各过滤阶段淘汰数、No-Ad原因、匹配率。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预算指标：预占、确认、释放、对账差异、余额不足次数。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事件指标：Stream积压、消费延迟、重试次数、幂等命中次数。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Go运行时：Goroutine、GC暂停、堆内存、CPU、连接池状态。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日志字段：requestId、eventId、campaignId、userIdHash、latencyMs、decisionReason。</w:t>
      </w:r>
    </w:p>
    <w:p>
      <w:pPr>
        <w:pStyle w:val="Heading1"/>
      </w:pPr>
      <w:r>
        <w:t>12. 安全与隐私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只使用模拟用户，禁止导入真实手机号、设备号、Cookie或公司数据。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日志中的 userId 使用不可逆哈希或测试ID，避免输出完整画像。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管理端与决策端采用不同鉴权范围；发布、暂停需要管理员角色。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落地页与素材URL执行协议和域名校验，阻止 javascript: 等危险Scheme。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Agent输入不得包含密钥；模型输出永远视为不可信输入并重新校验。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密钥通过环境变量或本地Secret文件注入，不提交到Git。</w:t>
      </w:r>
    </w:p>
    <w:p>
      <w:pPr>
        <w:pStyle w:val="Heading1"/>
      </w:pPr>
      <w:r>
        <w:t>13. 异常与降级策略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D5DCE3"/>
          <w:left w:val="single" w:sz="4" w:color="D5DCE3"/>
          <w:bottom w:val="single" w:sz="4" w:color="D5DCE3"/>
          <w:right w:val="single" w:sz="4" w:color="D5DCE3"/>
          <w:insideH w:val="single" w:sz="4" w:color="D5DCE3"/>
          <w:insideV w:val="single" w:sz="4" w:color="D5DCE3"/>
        </w:tblBorders>
      </w:tblPr>
      <w:tblGrid>
        <w:gridCol w:w="1900"/>
        <w:gridCol w:w="4100"/>
        <w:gridCol w:w="3360"/>
      </w:tblGrid>
      <w:tr>
        <w:trPr>
          <w:tblHeader w:val="true"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B3A"/>
                <w:sz w:val="18"/>
              </w:rPr>
              <w:t>故障</w:t>
            </w:r>
          </w:p>
        </w:tc>
        <w:tc>
          <w:tcPr>
            <w:tcW w:type="dxa" w:w="4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B3A"/>
                <w:sz w:val="18"/>
              </w:rPr>
              <w:t>在线行为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B3A"/>
                <w:sz w:val="18"/>
              </w:rPr>
              <w:t>后续处理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Redis不可用</w:t>
            </w:r>
          </w:p>
        </w:tc>
        <w:tc>
          <w:tcPr>
            <w:tcW w:type="dxa" w:w="4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快速返回 No-Ad；不绕过频控和预算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告警、恢复后健康检查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MySQL短暂不可用</w:t>
            </w:r>
          </w:p>
        </w:tc>
        <w:tc>
          <w:tcPr>
            <w:tcW w:type="dxa" w:w="4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在线决策继续读取已缓存版本；管理写入失败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重试并保持旧版本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事件流积压</w:t>
            </w:r>
          </w:p>
        </w:tc>
        <w:tc>
          <w:tcPr>
            <w:tcW w:type="dxa" w:w="4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上报仍写Stream；达到阈值后限流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扩消费者、定位慢处理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Agent超时</w:t>
            </w:r>
          </w:p>
        </w:tc>
        <w:tc>
          <w:tcPr>
            <w:tcW w:type="dxa" w:w="4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规则草稿生成失败，不影响已发布计划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允许人工配置规则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消费者重复处理</w:t>
            </w:r>
          </w:p>
        </w:tc>
        <w:tc>
          <w:tcPr>
            <w:tcW w:type="dxa" w:w="4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eventId幂等后忽略重复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记录幂等命中指标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预算对账差异</w:t>
            </w:r>
          </w:p>
        </w:tc>
        <w:tc>
          <w:tcPr>
            <w:tcW w:type="dxa" w:w="4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冻结异常计划或进入人工复核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输出差异明细</w:t>
            </w:r>
          </w:p>
        </w:tc>
      </w:tr>
    </w:tbl>
    <w:p>
      <w:pPr>
        <w:spacing w:after="40"/>
      </w:pPr>
    </w:p>
    <w:p>
      <w:pPr>
        <w:pStyle w:val="Heading1"/>
      </w:pPr>
      <w:r>
        <w:t>14. 测试与验收</w:t>
      </w:r>
    </w:p>
    <w:p>
      <w:pPr>
        <w:pStyle w:val="Heading2"/>
      </w:pPr>
      <w:r>
        <w:t>14.1 功能验收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能够创建计划、素材和规则，并完成草稿到发布状态转换。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符合标签的用户获得广告；不符合用户返回 No-Ad。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达到频次上限后不再投放，跨自然日后恢复。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预算不足时不投放，并发请求下余额不出现负数。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重复 requestId 不产生新的预算预占；重复 eventId 不重复统计。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曝光、点击和转化最终可在管理端指标中查询。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Agent生成非法规则时被Schema校验拦截，未确认草稿不能发布。</w:t>
      </w:r>
    </w:p>
    <w:p>
      <w:pPr>
        <w:pStyle w:val="Heading2"/>
      </w:pPr>
      <w:r>
        <w:t>14.2 技术验收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核心领域逻辑具有单元测试，Redis Lua脚本具有并发测试。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Docker Compose能够一条命令启动应用、MySQL和Redis。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提供OpenAPI文档、数据库迁移、种子数据和演示脚本。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提供k6压测脚本和一份包含机器配置、参数、结果、瓶颈的报告。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支持优雅退出，停止接收请求后等待在途操作并关闭连接。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README包含架构图、关键取舍、已知限制和演示截图。</w:t>
      </w:r>
    </w:p>
    <w:p>
      <w:pPr>
        <w:pStyle w:val="Heading1"/>
      </w:pPr>
      <w:r>
        <w:t>15. 里程碑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D5DCE3"/>
          <w:left w:val="single" w:sz="4" w:color="D5DCE3"/>
          <w:bottom w:val="single" w:sz="4" w:color="D5DCE3"/>
          <w:right w:val="single" w:sz="4" w:color="D5DCE3"/>
          <w:insideH w:val="single" w:sz="4" w:color="D5DCE3"/>
          <w:insideV w:val="single" w:sz="4" w:color="D5DCE3"/>
        </w:tblBorders>
      </w:tblPr>
      <w:tblGrid>
        <w:gridCol w:w="1300"/>
        <w:gridCol w:w="1200"/>
        <w:gridCol w:w="3900"/>
        <w:gridCol w:w="2960"/>
      </w:tblGrid>
      <w:tr>
        <w:trPr>
          <w:tblHeader w:val="true"/>
        </w:trPr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B3A"/>
                <w:sz w:val="18"/>
              </w:rPr>
              <w:t>阶段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B3A"/>
                <w:sz w:val="18"/>
              </w:rPr>
              <w:t>周期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B3A"/>
                <w:sz w:val="18"/>
              </w:rPr>
              <w:t>交付物</w:t>
            </w:r>
          </w:p>
        </w:tc>
        <w:tc>
          <w:tcPr>
            <w:tcW w:type="dxa" w:w="2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B3A"/>
                <w:sz w:val="18"/>
              </w:rPr>
              <w:t>完成条件</w:t>
            </w:r>
          </w:p>
        </w:tc>
      </w:tr>
      <w:tr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M0 骨架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2天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仓库、Gin路由、配置、迁移</w:t>
            </w:r>
          </w:p>
        </w:tc>
        <w:tc>
          <w:tcPr>
            <w:tcW w:type="dxa" w:w="2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本地可启动，健康检查通过</w:t>
            </w:r>
          </w:p>
        </w:tc>
      </w:tr>
      <w:tr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M1 配置域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第1周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计划、素材、版本、状态机</w:t>
            </w:r>
          </w:p>
        </w:tc>
        <w:tc>
          <w:tcPr>
            <w:tcW w:type="dxa" w:w="2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完整CRUD与发布流程</w:t>
            </w:r>
          </w:p>
        </w:tc>
      </w:tr>
      <w:tr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M2 决策域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第2周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标签匹配、频控、预算预占</w:t>
            </w:r>
          </w:p>
        </w:tc>
        <w:tc>
          <w:tcPr>
            <w:tcW w:type="dxa" w:w="2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主链路与并发测试通过</w:t>
            </w:r>
          </w:p>
        </w:tc>
      </w:tr>
      <w:tr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M3 事件域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第3周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Stream、消费者、指标聚合</w:t>
            </w:r>
          </w:p>
        </w:tc>
        <w:tc>
          <w:tcPr>
            <w:tcW w:type="dxa" w:w="2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曝光点击转化闭环</w:t>
            </w:r>
          </w:p>
        </w:tc>
      </w:tr>
      <w:tr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M4 管理端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第4周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React后台、图表、调试页</w:t>
            </w:r>
          </w:p>
        </w:tc>
        <w:tc>
          <w:tcPr>
            <w:tcW w:type="dxa" w:w="2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可视化演示完整流程</w:t>
            </w:r>
          </w:p>
        </w:tc>
      </w:tr>
      <w:tr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M5 Agent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第5周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规则草稿、Schema、人工确认</w:t>
            </w:r>
          </w:p>
        </w:tc>
        <w:tc>
          <w:tcPr>
            <w:tcW w:type="dxa" w:w="2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Agent不能绕过审批发布</w:t>
            </w:r>
          </w:p>
        </w:tc>
      </w:tr>
      <w:tr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M6 压测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第6周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监控、压测报告、README</w:t>
            </w:r>
          </w:p>
        </w:tc>
        <w:tc>
          <w:tcPr>
            <w:tcW w:type="dxa" w:w="2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获得可复现真实指标</w:t>
            </w:r>
          </w:p>
        </w:tc>
      </w:tr>
    </w:tbl>
    <w:p>
      <w:pPr>
        <w:spacing w:after="40"/>
      </w:pPr>
    </w:p>
    <w:p>
      <w:pPr>
        <w:pStyle w:val="Heading1"/>
      </w:pPr>
      <w:r>
        <w:t>16. 简历与面试交付标准</w:t>
      </w:r>
    </w:p>
    <w:p>
      <w:pPr>
        <w:spacing w:after="120"/>
      </w:pPr>
      <w:r>
        <w:rPr>
          <w:rFonts w:ascii="Microsoft YaHei" w:hAnsi="Microsoft YaHei" w:eastAsia="Microsoft YaHei"/>
          <w:color w:val="172B3A"/>
          <w:sz w:val="21"/>
        </w:rPr>
        <w:t>项目只有达到以下条件后，才建议替换简历中的教程项目：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真实可运行：面试前能现场演示创建计划、请求广告和查看指标。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真实可解释：能画出决策链路，解释每个Redis Key和一致性边界。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真实可验证：并发、幂等、超时和降级均有自动化测试。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真实有数据：所有性能数字均可由仓库中的压测脚本复现。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真实有取舍：README明确说明为何先做模块化单体、为何Agent不进入实时链路。</w:t>
      </w:r>
    </w:p>
    <w:p>
      <w:pPr>
        <w:pStyle w:val="Heading1"/>
      </w:pPr>
      <w:r>
        <w:t>17. 建议的简历描述（完成后再使用）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FFF6DD"/>
          <w:left w:val="single" w:sz="2" w:color="FFF6DD"/>
          <w:bottom w:val="single" w:sz="2" w:color="FFF6DD"/>
          <w:right w:val="single" w:sz="2" w:color="FFF6DD"/>
          <w:insideH w:val="single" w:sz="2" w:color="FFF6DD"/>
          <w:insideV w:val="single" w:sz="2" w:color="FFF6DD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6DD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7A5A00"/>
                <w:sz w:val="21"/>
              </w:rPr>
              <w:t xml:space="preserve">注意  </w:t>
            </w:r>
            <w:r>
              <w:rPr>
                <w:rFonts w:ascii="Microsoft YaHei" w:hAnsi="Microsoft YaHei" w:eastAsia="Microsoft YaHei"/>
                <w:color w:val="172B3A"/>
                <w:sz w:val="21"/>
              </w:rPr>
              <w:t>下列文字是结构模板。性能数字和优化比例必须在项目完成并压测后替换，不得直接填写或虚构。</w:t>
            </w:r>
          </w:p>
        </w:tc>
      </w:tr>
    </w:tbl>
    <w:p>
      <w:pPr>
        <w:spacing w:after="20"/>
      </w:pP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基于 Go、Redis 和 MySQL 实现实时广告决策平台，支持人群定向、投放频控、预算预占及曝光点击转化事件闭环。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使用 Redis Lua 原子完成频控与预算校验，结合 requestId/eventId 实现决策和事件幂等，并通过异步账本对账处理最终一致性。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基于 Redis Stream 构建事件消费链路，实现失败重试、积压监控和按日指标聚合。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接入 Agent 将自然语言转换为结构化投放规则，使用 JSON Schema 与人工审批隔离模型输出和线上配置。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使用 k6 与 Prometheus 完成并发压测和性能分析，在指定环境下达到 [实测QPS]、P99 [实测延迟]。</w:t>
      </w:r>
    </w:p>
    <w:p>
      <w:pPr>
        <w:pStyle w:val="Heading1"/>
      </w:pPr>
      <w:r>
        <w:t>18. 待技术设计确认事项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HTTP框架已确定为 Gin；统一路由分组、DTO绑定、Validator校验与错误响应规范。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MySQL驱动与数据访问：database/sql + sqlc 或手写Repository。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Redis Stream失败重试策略及死信数据保存方式。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预算预占TTL、曝光窗口和自然日时区统一使用规则。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规则引擎的表达能力上限、执行超时与缓存编译方案。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Agent模型提供方、成本上限、超时和本地Mock策略。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管理后台图表库及是否需要独立登录系统。</w:t>
      </w:r>
    </w:p>
    <w:p>
      <w:pPr>
        <w:pStyle w:val="Heading1"/>
        <w:pageBreakBefore/>
      </w:pPr>
      <w:r>
        <w:t>附录A：MVP演示脚本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启动 Docker Compose，确认应用、MySQL、Redis健康。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创建两个广告计划：策略游戏与休闲游戏，设置不同标签、预算和频控。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创建三名模拟用户，分别具有不同设备和兴趣标签。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调用决策接口，展示命中、标签不符、频控和预算不足四种结果。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重复发送 requestId 和 eventId，证明不会重复预占或计数。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上报曝光、点击与转化，在管理端查看指标变化。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使用自然语言生成一个规则草稿，展示Schema校验和人工确认。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运行短时压测，展示P95/P99、吞吐、错误率和Goroutine变化。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152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7684"/>
        <w:sz w:val="17"/>
      </w:rPr>
      <w:t xml:space="preserve">AdFlow PRD v1.1  •  </w:t>
    </w:r>
    <w:r>
      <w:rPr>
        <w:rFonts w:ascii="Microsoft YaHei" w:hAnsi="Microsoft YaHei" w:eastAsia="Microsoft YaHei"/>
        <w:color w:val="667684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b w:val="0"/>
        <w:color w:val="667684"/>
        <w:sz w:val="17"/>
      </w:rPr>
      <w:t>AdFlow  |  Product Requirements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color w:val="17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2B3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667684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ind w:left="720" w:hanging="360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64" w:lineRule="auto"/>
      <w:ind w:left="720" w:hanging="360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52" w:lineRule="auto"/>
      <w:ind w:left="259" w:right="259"/>
    </w:pPr>
    <w:rPr>
      <w:rFonts w:ascii="Consolas" w:hAnsi="Consolas" w:eastAsia="Microsoft YaHei"/>
      <w:color w:val="1F4D78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AdFlow PRD v1.1</dc:title>
  <dc:subject>Go实时广告决策与智能投放平台产品需求文档</dc:subject>
  <dc:creator>AdFlow Project</dc:creator>
  <cp:keywords>Go, AdTech, RTA, DMP, Redis, Agent, PRD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