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Microsoft YaHei" w:hAnsi="Microsoft YaHei" w:eastAsia="Microsoft YaHei"/>
          <w:b/>
          <w:color w:val="2E74B5"/>
          <w:sz w:val="19"/>
        </w:rPr>
        <w:t>PRODUCT REQUIREMENTS DOCUMENT</w:t>
      </w:r>
    </w:p>
    <w:p>
      <w:pPr>
        <w:pStyle w:val="Title"/>
      </w:pPr>
      <w:r>
        <w:rPr>
          <w:rFonts w:ascii="Microsoft YaHei" w:hAnsi="Microsoft YaHei" w:eastAsia="Microsoft YaHei"/>
          <w:b/>
          <w:color w:val="172B3A"/>
          <w:sz w:val="52"/>
        </w:rPr>
        <w:t>AdFlow</w:t>
      </w:r>
    </w:p>
    <w:p>
      <w:pPr>
        <w:pStyle w:val="Subtitle"/>
      </w:pPr>
      <w:r>
        <w:rPr>
          <w:rFonts w:ascii="Microsoft YaHei" w:hAnsi="Microsoft YaHei" w:eastAsia="Microsoft YaHei"/>
          <w:color w:val="667684"/>
          <w:sz w:val="26"/>
        </w:rPr>
        <w:t>基于 Go 的实时广告决策与智能投放平台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文档版本：</w:t>
      </w:r>
      <w:r>
        <w:rPr>
          <w:rFonts w:ascii="Microsoft YaHei" w:hAnsi="Microsoft YaHei" w:eastAsia="Microsoft YaHei"/>
          <w:color w:val="172B3A"/>
          <w:sz w:val="21"/>
        </w:rPr>
        <w:t>v1.2 / MVP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状态：</w:t>
      </w:r>
      <w:r>
        <w:rPr>
          <w:rFonts w:ascii="Microsoft YaHei" w:hAnsi="Microsoft YaHei" w:eastAsia="Microsoft YaHei"/>
          <w:color w:val="172B3A"/>
          <w:sz w:val="21"/>
        </w:rPr>
        <w:t>可进入技术设计与开发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目标周期：</w:t>
      </w:r>
      <w:r>
        <w:rPr>
          <w:rFonts w:ascii="Microsoft YaHei" w:hAnsi="Microsoft YaHei" w:eastAsia="Microsoft YaHei"/>
          <w:color w:val="172B3A"/>
          <w:sz w:val="21"/>
        </w:rPr>
        <w:t>4–6 周（单人项目）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核心技术：</w:t>
      </w:r>
      <w:r>
        <w:rPr>
          <w:rFonts w:ascii="Microsoft YaHei" w:hAnsi="Microsoft YaHei" w:eastAsia="Microsoft YaHei"/>
          <w:color w:val="172B3A"/>
          <w:sz w:val="21"/>
        </w:rPr>
        <w:t>Go、Gin、Validator、Redis、MySQL、Kafka、React、TypeScript</w:t>
      </w:r>
    </w:p>
    <w:p>
      <w:pPr>
        <w:spacing w:after="40"/>
      </w:pPr>
      <w:r>
        <w:rPr>
          <w:rFonts w:ascii="Microsoft YaHei" w:hAnsi="Microsoft YaHei" w:eastAsia="Microsoft YaHei"/>
          <w:b/>
          <w:color w:val="172B3A"/>
          <w:sz w:val="21"/>
        </w:rPr>
        <w:t>目标用途：</w:t>
      </w:r>
      <w:r>
        <w:rPr>
          <w:rFonts w:ascii="Microsoft YaHei" w:hAnsi="Microsoft YaHei" w:eastAsia="Microsoft YaHei"/>
          <w:color w:val="172B3A"/>
          <w:sz w:val="21"/>
        </w:rPr>
        <w:t>Go 后端能力证明 / 广告后端岗位 / Agent 全栈展示</w:t>
      </w:r>
    </w:p>
    <w:p>
      <w:pPr>
        <w:spacing w:after="280"/>
        <w:pBdr>
          <w:bottom w:val="single" w:sz="10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一句话定义  </w:t>
            </w:r>
            <w:r>
              <w:rPr>
                <w:rFonts w:ascii="Microsoft YaHei" w:hAnsi="Microsoft YaHei" w:eastAsia="Microsoft YaHei"/>
                <w:color w:val="172B3A"/>
                <w:sz w:val="21"/>
              </w:rPr>
              <w:t>AdFlow 允许运营人员配置广告计划、素材、预算和目标人群；在线决策服务在毫秒级完成候选筛选、频控与预算预占；曝光、点击和转化事件异步处理；Agent 仅生成规则草稿，发布前必须人工确认。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产品背景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广告投放系统需要在非常短的时间内，从多个候选广告中选出当前用户最合适的一条，同时满足预算、频次、投放时间和定向规则。传统教学项目通常只展示 CRUD 或秒杀，难以完整体现低延迟决策、并发一致性、异步事件和可观测性。AdFlow 以游戏广告投放为场景，构建一个小而完整、可运行、可压测的后端闭环。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MVP目标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运营人员能够创建广告计划、素材、预算、投放周期和人群定向规则。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调用方能够通过统一接口请求广告，并得到命中结果或明确的不投放原因。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系统能够按用户与广告计划执行每日频控，并避免并发请求造成明显超投。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系统能够记录曝光、点击、转化事件，并展示基础投放指标。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 能把自然语言转换为结构化规则草稿，但不能直接发布或修改线上规则。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通过可复现压测获得吞吐量、P95/P99 延迟、错误率和资源占用数据。</w:t>
      </w:r>
    </w:p>
    <w:p>
      <w:pPr>
        <w:pStyle w:val="Heading2"/>
      </w:pPr>
      <w:r>
        <w:t>2.2 非目标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不接入真实广告交易所，不处理真实资金结算。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MVP 不实现复杂机器学习排序、跨设备身份图谱和真实归因模型。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MVP 不拆成大量微服务；优先采用边界清晰的模块化单体。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不承诺金融级强一致预算；先实现可解释的预占、确认、释放和对账机制。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不采集真实个人敏感数据，全部使用模拟用户、标签和事件。</w:t>
      </w:r>
    </w:p>
    <w:p>
      <w:pPr>
        <w:pStyle w:val="Heading1"/>
      </w:pPr>
      <w:r>
        <w:t>3. 用户与核心场景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角色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目标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核心操作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广告运营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安全配置并观察广告计划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创建计划、配置规则、暂停/发布、查看指标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业务调用方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低延迟获取可展示广告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提交用户与广告位信息，接收素材或 No-Ad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系统管理员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保证服务稳定与可追踪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查看健康状态、指标、失败事件与审计记录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开发者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验证架构和性能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运行测试、压测、故障注入与数据回放</w:t>
            </w:r>
          </w:p>
        </w:tc>
      </w:tr>
    </w:tbl>
    <w:p>
      <w:pPr>
        <w:spacing w:after="40"/>
      </w:pPr>
    </w:p>
    <w:p>
      <w:pPr>
        <w:pStyle w:val="Heading1"/>
      </w:pPr>
      <w:r>
        <w:t>4. 核心业务流程</w:t>
      </w:r>
    </w:p>
    <w:p>
      <w:pPr>
        <w:pStyle w:val="Heading2"/>
      </w:pPr>
      <w:r>
        <w:t>4.1 广告计划发布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创建计划 → 上传素材 → 配置预算/周期/定向/频控 → Agent 可生成规则草稿</w:t>
        <w:br/>
        <w:t>→ JSON Schema 校验 → 人工预览与确认 → 发布 → 生成不可变配置版本</w:t>
      </w:r>
    </w:p>
    <w:p>
      <w:pPr>
        <w:pStyle w:val="Heading2"/>
      </w:pPr>
      <w:r>
        <w:t>4.2 实时广告决策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请求校验 → 加载广告位 → 获取候选计划 → 时间/状态过滤 → 用户标签匹配</w:t>
        <w:br/>
        <w:t>→ 频控检查 → 预算预占 → 评分排序 → 返回广告 → 记录决策日志</w:t>
      </w:r>
    </w:p>
    <w:p>
      <w:pPr>
        <w:pStyle w:val="Heading2"/>
      </w:pPr>
      <w:r>
        <w:t>4.3 事件处理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客户端上报曝光/点击/转化 → 校验决策 → 发布 Kafka(adflow.ad-events.v1) → 返回 202</w:t>
        <w:br/>
        <w:t>→ Consumer Group 异步消费 → eventId 幂等 → 更新指标 → 曝光确认预算 → 手动提交 Offset</w:t>
      </w:r>
    </w:p>
    <w:p>
      <w:pPr>
        <w:pStyle w:val="Heading1"/>
      </w:pPr>
      <w:r>
        <w:t>5. 功能需求</w:t>
      </w:r>
    </w:p>
    <w:p>
      <w:pPr>
        <w:pStyle w:val="Heading2"/>
      </w:pPr>
      <w:r>
        <w:t>5.1 广告计划管理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050"/>
        <w:gridCol w:w="3000"/>
        <w:gridCol w:w="5310"/>
      </w:tblGrid>
      <w:tr>
        <w:trPr>
          <w:tblHeader w:val="true"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编号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需求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验收标准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FR-101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创建、编辑、查询广告计划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支持名称、广告位、周期、预算、频控和定向规则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FR-102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计划状态机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DRAFT、ACTIVE、PAUSED、ENDED 状态转换合法且可审计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FR-103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配置版本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每次发布生成版本；在线请求只读取已发布版本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FR-104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暂停生效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暂停后新决策不再返回该计划，目标生效时间不超过5秒</w:t>
            </w:r>
          </w:p>
        </w:tc>
      </w:tr>
    </w:tbl>
    <w:p>
      <w:pPr>
        <w:spacing w:after="40"/>
      </w:pPr>
    </w:p>
    <w:p>
      <w:pPr>
        <w:pStyle w:val="Heading2"/>
      </w:pPr>
      <w:r>
        <w:t>5.2 素材管理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素材包含标题、描述、图片URL、落地页URL、适用广告位与启用状态。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MVP 使用 URL 引用，不负责大型对象存储；可选扩展为 MinIO。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素材必须归属于广告计划，禁用素材不得参与在线决策。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同一计划多素材时，MVP 可使用权重随机或轮询选择。</w:t>
      </w:r>
    </w:p>
    <w:p>
      <w:pPr>
        <w:pStyle w:val="Heading2"/>
      </w:pPr>
      <w:r>
        <w:t>5.3 用户画像与人群规则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MVP 使用模拟用户画像。标签示例包括 anime、strategy_game、active_7d、android、high_value。规则采用声明式 JSON，不执行任意脚本。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{</w:t>
        <w:br/>
        <w:t xml:space="preserve">  "all": [</w:t>
        <w:br/>
        <w:t xml:space="preserve">    {"tag": "anime"},</w:t>
        <w:br/>
        <w:t xml:space="preserve">    {"tag": "strategy_game"},</w:t>
        <w:br/>
        <w:t xml:space="preserve">    {"field": "device", "op": "eq", "value": "android"}</w:t>
        <w:br/>
        <w:t xml:space="preserve">  ],</w:t>
        <w:br/>
        <w:t xml:space="preserve">  "none": [{"tag": "installed_target_game"}]</w:t>
        <w:br/>
        <w:t>}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支持 all、any、none 三组组合条件。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支持标签存在性及少量字段比较：eq、in、gte、lte。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规则必须经过 Schema 校验，并设置最大嵌套层级与最大条件数。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在线决策过程输出可追踪的过滤原因，但外部响应不得泄露内部敏感策略。</w:t>
      </w:r>
    </w:p>
    <w:p>
      <w:pPr>
        <w:pStyle w:val="Heading2"/>
      </w:pPr>
      <w:r>
        <w:t>5.4 实时决策接口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050"/>
        <w:gridCol w:w="3100"/>
        <w:gridCol w:w="5210"/>
      </w:tblGrid>
      <w:tr>
        <w:trPr>
          <w:tblHeader w:val="true"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编号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需求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验收标准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FR-401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统一决策入口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POST /v1/decisions，支持 requestId、userId、slotId 和上下文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FR-402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候选过滤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按状态、周期、素材、定向、频控和预算依次过滤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FR-403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确定性结果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同一请求ID重复提交返回同一决策结果或明确冲突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FR-404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No-Ad原因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无候选、频控、预算、超时等原因可在调试模式查看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FR-405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降级</w:t>
            </w:r>
          </w:p>
        </w:tc>
        <w:tc>
          <w:tcPr>
            <w:tcW w:type="dxa" w:w="5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8"/>
              </w:rPr>
              <w:t>Redis或画像服务异常时按配置 No-Ad，不返回未经校验广告</w:t>
            </w:r>
          </w:p>
        </w:tc>
      </w:tr>
    </w:tbl>
    <w:p>
      <w:pPr>
        <w:spacing w:after="40"/>
      </w:pPr>
    </w:p>
    <w:p>
      <w:pPr>
        <w:pStyle w:val="Heading2"/>
      </w:pPr>
      <w:r>
        <w:t>5.5 频控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频控用于限制同一用户在指定时间窗口内看到同一计划的次数。MVP支持“用户 + 计划 + 自然日”维度。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决策时执行频控预占，曝光确认后转为正式计数。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未产生曝光的预占在短 TTL 后自动释放，避免只请求不展示导致次数耗尽。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 Redis Lua 将读取、判断、递增与过期时间设置组合为原子操作。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重复曝光事件通过 eventId 幂等，不重复增加计数。</w:t>
      </w:r>
    </w:p>
    <w:p>
      <w:pPr>
        <w:pStyle w:val="Heading2"/>
      </w:pPr>
      <w:r>
        <w:t>5.6 预算控制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D"/>
          <w:left w:val="single" w:sz="2" w:color="FFF6DD"/>
          <w:bottom w:val="single" w:sz="2" w:color="FFF6DD"/>
          <w:right w:val="single" w:sz="2" w:color="FFF6DD"/>
          <w:insideH w:val="single" w:sz="2" w:color="FFF6DD"/>
          <w:insideV w:val="single" w:sz="2" w:color="FFF6DD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设计取舍  </w:t>
            </w:r>
            <w:r>
              <w:rPr>
                <w:rFonts w:ascii="Microsoft YaHei" w:hAnsi="Microsoft YaHei" w:eastAsia="Microsoft YaHei"/>
                <w:color w:val="172B3A"/>
                <w:sz w:val="21"/>
              </w:rPr>
              <w:t>在线决策阶段先预占预算，曝光事件到达后确认；未曝光或超时则释放。Redis负责低延迟在线控制，MySQL保存权威账本并由对账任务修正差异。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金额统一使用最小货币单位的整数，禁止浮点数参与扣减。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Lua 原子执行剩余预算校验与预占，防止高并发下超扣。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预占记录关联 requestId，确认和释放操作必须幂等。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定时对账比较 Redis 快照与 MySQL 账本，输出差异但不静默吞掉异常。</w:t>
      </w:r>
    </w:p>
    <w:p>
      <w:pPr>
        <w:pStyle w:val="Heading2"/>
      </w:pPr>
      <w:r>
        <w:t>5.7 事件采集与指标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450"/>
        <w:gridCol w:w="2200"/>
        <w:gridCol w:w="3200"/>
        <w:gridCol w:w="25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事件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触发时机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主要字段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处理结果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impression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素材实际可见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eventId/requestId/userId/campaignId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确认预算、增加曝光与频控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click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用户点击素材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eventId/requestId/campaignId/timestamp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增加点击、计算CTR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conversion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模拟激活或付费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eventId/requestId/value/timestamp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增加转化、计算CVR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Kafka消息使用 requestId 作为 Key，使同一广告决策的曝光、点击和转化进入同一分区并保持顺序。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消息信封包含 schemaVersion；不支持的版本不得静默消费。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消费采用至少一次语义，仅在业务处理成功后手动提交 Offset；重复消息由 eventId 幂等拦截。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MVP提供同步本地回退模式；Kafka模式下事件接口返回202，指标由消费者异步更新。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可靠性增强采用 MySQL Transactional Outbox，避免数据库写入与Kafka发布之间的双写不一致。</w:t>
      </w:r>
    </w:p>
    <w:p>
      <w:pPr>
        <w:pStyle w:val="Heading2"/>
      </w:pPr>
      <w:r>
        <w:t>5.8 Agent规则助手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自然语言 → LLM/Agent → RuleDraft(JSON) → Schema 校验 → 风险提示</w:t>
        <w:br/>
        <w:t>→ 人工确认 → 普通后端 API 保存 → 发布新版本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Agent只能调用读取计划、生成草稿和解释规则工具，不能调用发布接口。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所有生成结果必须满足 JSON Schema；不合法时拒绝保存并返回具体错误。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确认页面同时展示自然语言解释和最终 JSON，防止隐藏条件。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保存 promptVersion、model、生成时间和确认人，形成审计记录。</w:t>
      </w:r>
    </w:p>
    <w:p>
      <w:pPr>
        <w:pStyle w:val="Heading1"/>
      </w:pPr>
      <w:r>
        <w:t>6. 状态与规则</w:t>
      </w:r>
    </w:p>
    <w:p>
      <w:pPr>
        <w:pStyle w:val="Heading2"/>
      </w:pPr>
      <w:r>
        <w:t>6.1 广告计划状态机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DRAFT ──发布──▶ ACTIVE ──暂停──▶ PAUSED</w:t>
        <w:br/>
        <w:t xml:space="preserve">  ▲                 │              │</w:t>
        <w:br/>
        <w:t xml:space="preserve">  └────编辑新版本────┘              └──恢复──▶ ACTIVE</w:t>
        <w:br/>
        <w:t xml:space="preserve">                    └────到期──────────────▶ ENDED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ACTIVE版本不可原地修改。运营编辑时基于当前版本生成新的 DRAFT，重新校验并发布，以避免在线请求读到部分更新。</w:t>
      </w:r>
    </w:p>
    <w:p>
      <w:pPr>
        <w:pStyle w:val="Heading2"/>
      </w:pPr>
      <w:r>
        <w:t>6.2 决策过滤顺序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计划状态与投放时间：最便宜的判断优先执行。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广告位与素材可用性：排除不适配或无素材计划。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人群定向：根据用户画像执行声明式规则。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频控：查询并预占展示次数。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预算：原子预占单次曝光成本。</w:t>
      </w:r>
    </w:p>
    <w:p>
      <w:pPr>
        <w:pStyle w:val="ListNumber"/>
      </w:pPr>
      <w:r>
        <w:rPr>
          <w:rFonts w:ascii="Microsoft YaHei" w:hAnsi="Microsoft YaHei" w:eastAsia="Microsoft YaHei"/>
          <w:color w:val="172B3A"/>
          <w:sz w:val="21"/>
        </w:rPr>
        <w:t>排序：MVP按优先级、匹配分和权重选择。</w:t>
      </w:r>
    </w:p>
    <w:p>
      <w:pPr>
        <w:pStyle w:val="Heading1"/>
      </w:pPr>
      <w:r>
        <w:t>7. 数据模型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实体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关键字段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campaign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id/name/status/slot/startAt/endAt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广告计划主记录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campaign_version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campaignId/version/rule/budget/frequency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不可变已发布配置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creative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id/campaignId/title/imageUrl/landingUrl/status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广告素材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user_profile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userId/tags/device/updatedAt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模拟用户画像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decision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requestId/userId/slot/campaignId/reason/latency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决策审计日志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budget_ledger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operationId/campaignId/type/amount/requestId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预算预占、确认、释放账本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ad_event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eventId/type/requestId/campaignId/eventAt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曝光点击转化原始事件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metric_daily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date/campaignId/impressions/clicks/conversions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按日聚合指标</w:t>
            </w:r>
          </w:p>
        </w:tc>
      </w:tr>
    </w:tbl>
    <w:p>
      <w:pPr>
        <w:spacing w:after="40"/>
      </w:pPr>
    </w:p>
    <w:p>
      <w:pPr>
        <w:pStyle w:val="Heading2"/>
      </w:pPr>
      <w:r>
        <w:t>7.1 Redis Key设计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adflow:campaign:active:{slotId}           # 活跃计划集合</w:t>
        <w:br/>
        <w:t>adflow:profile:{userId}                   # 用户标签缓存</w:t>
        <w:br/>
        <w:t>adflow:freq:{date}:{campaignId}:{userId}  # 频控计数/预占</w:t>
        <w:br/>
        <w:t>adflow:budget:{campaignId}                # 可用预算</w:t>
        <w:br/>
        <w:t>adflow:reservation:{requestId}            # 预算与频控预占</w:t>
        <w:br/>
        <w:t>adflow:idempotency:event:{eventId}        # 事件幂等标记</w:t>
      </w:r>
    </w:p>
    <w:p>
      <w:pPr>
        <w:pStyle w:val="Heading1"/>
      </w:pPr>
      <w:r>
        <w:t>8. API需求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000"/>
        <w:gridCol w:w="3200"/>
        <w:gridCol w:w="3200"/>
        <w:gridCol w:w="1960"/>
      </w:tblGrid>
      <w:tr>
        <w:trPr>
          <w:tblHeader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方法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路径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用途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幂等要求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/v1/campaigns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创建草稿计划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客户端幂等键可选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/v1/campaigns/{id}/publish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校验并发布新版本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重复发布返回同一版本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/v1/campaigns/{id}/pause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暂停计划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幂等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/v1/decisions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实时请求广告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requestId强制幂等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/v1/events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上报曝光/点击/转化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eventId强制幂等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GET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/v1/campaigns/{id}/metrics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查询计划指标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只读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POST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/v1/agent/rule-drafts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生成规则草稿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不产生发布副作用</w:t>
            </w:r>
          </w:p>
        </w:tc>
      </w:tr>
    </w:tbl>
    <w:p>
      <w:pPr>
        <w:spacing w:after="40"/>
      </w:pPr>
    </w:p>
    <w:p>
      <w:pPr>
        <w:pStyle w:val="Heading2"/>
      </w:pPr>
      <w:r>
        <w:t>8.1 决策接口示例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POST /v1/decisions</w:t>
        <w:br/>
        <w:t>{</w:t>
        <w:br/>
        <w:t xml:space="preserve">  "requestId": "req-20260902-001",</w:t>
        <w:br/>
        <w:t xml:space="preserve">  "userId": "user-10001",</w:t>
        <w:br/>
        <w:t xml:space="preserve">  "slotId": "game-home-banner",</w:t>
        <w:br/>
        <w:t xml:space="preserve">  "context": {"device": "android", "region": "shanghai"}</w:t>
        <w:br/>
        <w:t>}</w:t>
        <w:br/>
        <w:br/>
        <w:t>200 OK</w:t>
        <w:br/>
        <w:t>{</w:t>
        <w:br/>
        <w:t xml:space="preserve">  "matched": true,</w:t>
        <w:br/>
        <w:t xml:space="preserve">  "campaignId": "cmp-100",</w:t>
        <w:br/>
        <w:t xml:space="preserve">  "creativeId": "crt-201",</w:t>
        <w:br/>
        <w:t xml:space="preserve">  "reservationToken": "rsv-...",</w:t>
        <w:br/>
        <w:t xml:space="preserve">  "expiresInMs": 30000</w:t>
        <w:br/>
        <w:t>}</w:t>
      </w:r>
    </w:p>
    <w:p>
      <w:pPr>
        <w:pStyle w:val="Heading1"/>
      </w:pPr>
      <w:r>
        <w:t>9. 技术架构建议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React 管理后台</w:t>
        <w:br/>
        <w:t xml:space="preserve">       │ REST</w:t>
        <w:br/>
        <w:t xml:space="preserve">       ▼</w:t>
        <w:br/>
        <w:t>Gin API / Decision Runtime ────── Redis（画像、频控、预算、幂等）</w:t>
        <w:br/>
        <w:t xml:space="preserve">       │                    └──── Kafka（广告事件骨干）</w:t>
        <w:br/>
        <w:t xml:space="preserve">       ├──── MySQL（配置、账本、Outbox、原始事件、聚合指标）</w:t>
        <w:br/>
        <w:t xml:space="preserve">       ├──── Kafka Consumer（幂等消费、指标聚合、预算确认）</w:t>
        <w:br/>
        <w:t xml:space="preserve">       └──── Agent Adapter（只生成 RuleDraft）</w:t>
      </w:r>
    </w:p>
    <w:p>
      <w:pPr>
        <w:pStyle w:val="Heading2"/>
      </w:pPr>
      <w:r>
        <w:t>9.1 Go模块边界</w:t>
      </w:r>
    </w:p>
    <w:p>
      <w:pPr>
        <w:pStyle w:val="CodeBlock"/>
        <w:keepLines/>
        <w:shd w:fill="F6F8FA"/>
      </w:pPr>
      <w:r>
        <w:rPr>
          <w:rFonts w:ascii="Consolas" w:hAnsi="Consolas" w:eastAsia="Consolas"/>
          <w:color w:val="1F4D78"/>
          <w:sz w:val="18"/>
        </w:rPr>
        <w:t>cmd/api</w:t>
        <w:br/>
        <w:t>internal/transport/http # Gin Router、Handler、Middleware、DTO</w:t>
        <w:br/>
        <w:t>internal/campaign       # 计划、素材、版本与状态机</w:t>
        <w:br/>
        <w:t>internal/decision       # 候选过滤、评分与结果生成</w:t>
        <w:br/>
        <w:t>internal/profile        # 用户画像和缓存</w:t>
        <w:br/>
        <w:t>internal/frequency      # 频控预占/确认/释放</w:t>
        <w:br/>
        <w:t>internal/budget         # 预算账本与Lua原子操作</w:t>
        <w:br/>
        <w:t>internal/event          # 事件入口、Kafka生产与消费</w:t>
        <w:br/>
        <w:t>internal/agent          # 规则草稿生成及Schema校验</w:t>
        <w:br/>
        <w:t>internal/observability  # 日志、指标、trace</w:t>
        <w:br/>
        <w:t>internal/storage       # MySQL/Redis adapters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MVP使用模块化单体，所有模块通过接口依赖抽象存储。只有在压测或故障隔离证明有必要时，才拆出独立 Decision Runtime 或 Event Worker。</w:t>
      </w:r>
    </w:p>
    <w:p>
      <w:pPr>
        <w:pStyle w:val="Heading2"/>
      </w:pPr>
      <w:r>
        <w:t>9.2 Gin使用边界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Gin只位于HTTP传输层，负责路由分组、参数绑定、错误响应和中间件编排。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 go-playground/validator 校验请求DTO；校验失败统一返回字段级错误。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领域服务和Repository不得依赖 gin.Context，统一接收标准 context.Context。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将 Gin Engine 挂载到 net/http.Server，继续显式设置读写超时并实现优雅关闭。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自定义 Request ID、访问日志、Recovery、鉴权和超时中间件，避免业务Handler重复。</w:t>
      </w:r>
    </w:p>
    <w:p>
      <w:pPr>
        <w:pStyle w:val="Heading1"/>
      </w:pPr>
      <w:r>
        <w:t>10.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550"/>
        <w:gridCol w:w="4800"/>
        <w:gridCol w:w="3010"/>
      </w:tblGrid>
      <w:tr>
        <w:trPr>
          <w:tblHeader w:val="true"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维度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MVP目标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验证方式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延迟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决策接口 P95 ≤ 30ms，P99 ≤ 80ms（本地压测环境）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k6固定数据集压测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吞吐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单实例达到实测目标；不预填虚假QPS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逐级加压并记录拐点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可用性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Redis异常时快速 No-Ad，不阻塞超过总超时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故障注入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正确性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预算与频控不出现无界超扣；重复事件不重复计数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并发与幂等测试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可观测性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请求可通过 requestId 关联决策、预占和事件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日志与Trace查询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安全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Agent无发布权限；管理接口与外部决策接口隔离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权限测试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4EA"/>
          <w:left w:val="single" w:sz="2" w:color="EAF4EA"/>
          <w:bottom w:val="single" w:sz="2" w:color="EAF4EA"/>
          <w:right w:val="single" w:sz="2" w:color="EAF4EA"/>
          <w:insideH w:val="single" w:sz="2" w:color="EAF4EA"/>
          <w:insideV w:val="single" w:sz="2" w:color="EAF4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6B3A"/>
                <w:sz w:val="21"/>
              </w:rPr>
              <w:t xml:space="preserve">指标原则  </w:t>
            </w:r>
            <w:r>
              <w:rPr>
                <w:rFonts w:ascii="Microsoft YaHei" w:hAnsi="Microsoft YaHei" w:eastAsia="Microsoft YaHei"/>
                <w:color w:val="172B3A"/>
                <w:sz w:val="21"/>
              </w:rPr>
              <w:t>PRD给出目标而不是简历数字。简历中的QPS、P99、资源使用与优化比例必须来自可重复压测，并同时记录机器配置、数据规模、并发模型和测试脚本。</w:t>
            </w:r>
          </w:p>
        </w:tc>
      </w:tr>
    </w:tbl>
    <w:p>
      <w:pPr>
        <w:spacing w:after="20"/>
      </w:pPr>
    </w:p>
    <w:p>
      <w:pPr>
        <w:pStyle w:val="Heading1"/>
      </w:pPr>
      <w:r>
        <w:t>11. 可观测性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HTTP指标：请求量、状态码、P50/P95/P99、超时数。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决策指标：候选数、各过滤阶段淘汰数、No-Ad原因、匹配率。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预算指标：预占、确认、释放、对账差异、余额不足次数。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事件指标：Kafka Consumer Lag、消费延迟、重试次数、幂等命中次数。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Go运行时：Goroutine、GC暂停、堆内存、CPU、连接池状态。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日志字段：requestId、eventId、campaignId、userIdHash、latencyMs、decisionReason。</w:t>
      </w:r>
    </w:p>
    <w:p>
      <w:pPr>
        <w:pStyle w:val="Heading1"/>
      </w:pPr>
      <w:r>
        <w:t>12. 安全与隐私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只使用模拟用户，禁止导入真实手机号、设备号、Cookie或公司数据。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日志中的 userId 使用不可逆哈希或测试ID，避免输出完整画像。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管理端与决策端采用不同鉴权范围；发布、暂停需要管理员角色。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落地页与素材URL执行协议和域名校验，阻止 javascript: 等危险Scheme。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Agent输入不得包含密钥；模型输出永远视为不可信输入并重新校验。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密钥通过环境变量或本地Secret文件注入，不提交到Git。</w:t>
      </w:r>
    </w:p>
    <w:p>
      <w:pPr>
        <w:pStyle w:val="Heading1"/>
      </w:pPr>
      <w:r>
        <w:t>13. 异常与降级策略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故障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在线行为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后续处理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Redis不可用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快速返回 No-Ad；不绕过频控和预算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告警、恢复后健康检查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MySQL短暂不可用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在线决策继续读取已缓存版本；管理写入失败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重试并保持旧版本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Kafka消息积压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事件已留存在Topic；在线决策不受影响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观察Consumer Lag、扩消费者或定位慢处理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Agent超时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规则草稿生成失败，不影响已发布计划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允许人工配置规则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消费者重复处理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eventId幂等后忽略重复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记录幂等命中指标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预算对账差异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冻结异常计划或进入人工复核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输出差异明细</w:t>
            </w:r>
          </w:p>
        </w:tc>
      </w:tr>
    </w:tbl>
    <w:p>
      <w:pPr>
        <w:spacing w:after="40"/>
      </w:pPr>
    </w:p>
    <w:p>
      <w:pPr>
        <w:pStyle w:val="Heading1"/>
      </w:pPr>
      <w:r>
        <w:t>14. 测试与验收</w:t>
      </w:r>
    </w:p>
    <w:p>
      <w:pPr>
        <w:pStyle w:val="Heading2"/>
      </w:pPr>
      <w:r>
        <w:t>14.1 功能验收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能够创建计划、素材和规则，并完成草稿到发布状态转换。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符合标签的用户获得广告；不符合用户返回 No-Ad。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达到频次上限后不再投放，跨自然日后恢复。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预算不足时不投放，并发请求下余额不出现负数。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重复 requestId 不产生新的预算预占；重复 eventId 不重复统计。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曝光、点击和转化最终可在管理端指标中查询。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Agent生成非法规则时被Schema校验拦截，未确认草稿不能发布。</w:t>
      </w:r>
    </w:p>
    <w:p>
      <w:pPr>
        <w:pStyle w:val="Heading2"/>
      </w:pPr>
      <w:r>
        <w:t>14.2 技术验收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核心领域逻辑具有单元测试，Redis Lua脚本具有并发测试。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Docker Compose能够一条命令启动应用、MySQL和Redis。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提供OpenAPI文档、数据库迁移、种子数据和演示脚本。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提供k6压测脚本和一份包含机器配置、参数、结果、瓶颈的报告。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支持优雅退出，停止接收请求后等待在途操作并关闭连接。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README包含架构图、关键取舍、已知限制和演示截图。</w:t>
      </w:r>
    </w:p>
    <w:p>
      <w:pPr>
        <w:pStyle w:val="Heading1"/>
      </w:pPr>
      <w:r>
        <w:t>15. 里程碑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1300"/>
        <w:gridCol w:w="1200"/>
        <w:gridCol w:w="3900"/>
        <w:gridCol w:w="296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阶段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周期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交付物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8"/>
              </w:rPr>
              <w:t>完成条件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M0 骨架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2天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仓库、Gin路由、配置、迁移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本地可启动，健康检查通过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M1 配置域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第1周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计划、素材、版本、状态机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完整CRUD与发布流程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M2 决策域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第2周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标签匹配、频控、预算预占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主链路与并发测试通过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M3 事件域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第3周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Kafka、消费者、指标聚合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曝光点击转化闭环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M4 管理端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第4周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React后台、图表、调试页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可视化演示完整流程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M5 Agent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第5周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规则草稿、Schema、人工确认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Agent不能绕过审批发布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M6 压测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第6周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监控、压测报告、README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B3A"/>
                <w:sz w:val="17"/>
              </w:rPr>
              <w:t>获得可复现真实指标</w:t>
            </w:r>
          </w:p>
        </w:tc>
      </w:tr>
    </w:tbl>
    <w:p>
      <w:pPr>
        <w:spacing w:after="40"/>
      </w:pPr>
    </w:p>
    <w:p>
      <w:pPr>
        <w:pStyle w:val="Heading1"/>
      </w:pPr>
      <w:r>
        <w:t>16. 简历与面试交付标准</w:t>
      </w:r>
    </w:p>
    <w:p>
      <w:pPr>
        <w:spacing w:after="120"/>
      </w:pPr>
      <w:r>
        <w:rPr>
          <w:rFonts w:ascii="Microsoft YaHei" w:hAnsi="Microsoft YaHei" w:eastAsia="Microsoft YaHei"/>
          <w:color w:val="172B3A"/>
          <w:sz w:val="21"/>
        </w:rPr>
        <w:t>项目只有达到以下条件后，才建议替换简历中的教程项目：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真实可运行：面试前能现场演示创建计划、请求广告和查看指标。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真实可解释：能画出决策链路，解释每个Redis Key和一致性边界。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真实可验证：并发、幂等、超时和降级均有自动化测试。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真实有数据：所有性能数字均可由仓库中的压测脚本复现。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真实有取舍：README明确说明为何先做模块化单体、为何Agent不进入实时链路。</w:t>
      </w:r>
    </w:p>
    <w:p>
      <w:pPr>
        <w:pStyle w:val="Heading1"/>
      </w:pPr>
      <w:r>
        <w:t>17. 建议的简历描述（完成后再使用）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D"/>
          <w:left w:val="single" w:sz="2" w:color="FFF6DD"/>
          <w:bottom w:val="single" w:sz="2" w:color="FFF6DD"/>
          <w:right w:val="single" w:sz="2" w:color="FFF6DD"/>
          <w:insideH w:val="single" w:sz="2" w:color="FFF6DD"/>
          <w:insideV w:val="single" w:sz="2" w:color="FFF6DD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注意  </w:t>
            </w:r>
            <w:r>
              <w:rPr>
                <w:rFonts w:ascii="Microsoft YaHei" w:hAnsi="Microsoft YaHei" w:eastAsia="Microsoft YaHei"/>
                <w:color w:val="172B3A"/>
                <w:sz w:val="21"/>
              </w:rPr>
              <w:t>下列文字是结构模板。性能数字和优化比例必须在项目完成并压测后替换，不得直接填写或虚构。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基于 Go、Redis 和 MySQL 实现实时广告决策平台，支持人群定向、投放频控、预算预占及曝光点击转化事件闭环。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 Redis Lua 原子完成频控与预算校验，结合 requestId/eventId 实现决策和事件幂等，并通过异步账本对账处理最终一致性。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基于 Kafka 构建广告事件链路，以 requestId 作为分区Key保证单次决策内顺序，结合消费组、手动提交Offset和eventId幂等实现至少一次可靠消费。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接入 Agent 将自然语言转换为结构化投放规则，使用 JSON Schema 与人工审批隔离模型输出和线上配置。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 k6 与 Prometheus 完成并发压测和性能分析，在指定环境下达到 [实测QPS]、P99 [实测延迟]。</w:t>
      </w:r>
    </w:p>
    <w:p>
      <w:pPr>
        <w:pStyle w:val="Heading1"/>
      </w:pPr>
      <w:r>
        <w:t>18. 待技术设计确认事项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HTTP框架已确定为 Gin；统一路由分组、DTO绑定、Validator校验与错误响应规范。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MySQL驱动与数据访问：database/sql + sqlc 或手写Repository。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Kafka失败重试、Consumer Lag告警、死信Topic和Transactional Outbox落地方式。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预算预占TTL、曝光窗口和自然日时区统一使用规则。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规则引擎的表达能力上限、执行超时与缓存编译方案。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Agent模型提供方、成本上限、超时和本地Mock策略。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管理后台图表库及是否需要独立登录系统。</w:t>
      </w:r>
    </w:p>
    <w:p>
      <w:pPr>
        <w:pStyle w:val="Heading1"/>
        <w:pageBreakBefore/>
      </w:pPr>
      <w:r>
        <w:t>附录A：MVP演示脚本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启动 Docker Compose，确认应用、MySQL、Redis健康。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创建两个广告计划：策略游戏与休闲游戏，设置不同标签、预算和频控。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创建三名模拟用户，分别具有不同设备和兴趣标签。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调用决策接口，展示命中、标签不符、频控和预算不足四种结果。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重复发送 requestId 和 eventId，证明不会重复预占或计数。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上报曝光、点击与转化，在管理端查看指标变化。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使用自然语言生成一个规则草稿，展示Schema校验和人工确认。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1"/>
        </w:rPr>
        <w:t>运行短时压测，展示P95/P99、吞吐、错误率和Goroutine变化。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684"/>
        <w:sz w:val="17"/>
      </w:rPr>
      <w:t xml:space="preserve">AdFlow PRD v1.2  •  </w:t>
    </w:r>
    <w:r>
      <w:rPr>
        <w:rFonts w:ascii="Microsoft YaHei" w:hAnsi="Microsoft YaHei" w:eastAsia="Microsoft YaHei"/>
        <w:color w:val="66768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67684"/>
        <w:sz w:val="17"/>
      </w:rPr>
      <w:t>AdFlow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684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</w:pPr>
    <w:rPr>
      <w:rFonts w:ascii="Consolas" w:hAnsi="Consolas" w:eastAsia="Microsoft YaHei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AdFlow PRD v1.2</dc:title>
  <dc:subject>Go实时广告决策与智能投放平台产品需求文档</dc:subject>
  <dc:creator>AdFlow Project</dc:creator>
  <cp:keywords>Go, AdTech, RTA, DMP, Redis, Agent,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