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ПОДГОТОВКА К ЗАЩИТЕ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B8860B"/>
          <w:sz w:val="30"/>
          <w:szCs w:val="30"/>
        </w:rPr>
        <w:t xml:space="preserve">Лабораторная работа №1 — «Амфора»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Курс «Разработка интернет-приложений» · МГТУ им. Н. Э. Баумана, ИУ5 · версия после правок преподавателя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Тема варианта: «История и культура. Оценка торговых связей по статистике импортных находок». Услуга — характерная категория импортных товаров с указанием центра производства; в коде и в адресах сущность называется import_categories. Заявка (появится в ЛР3) — расчёт удельного веса импорта из разных регионов в общей массе находок памятника для реконструкции торговых путей. Памятник, по которому собрана сводка, — Елизаветовское городище в дельте Дона.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Этот документ — шпаргалка для защиты: что показывать, как объяснять и какие вопросы обычно задают. Разделы идут в порядке демонстрации.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1. Короткие ответы на три пункта проверки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Преподаватель просит назвать три вещи по теме. Вот они одной строкой каждая — заучить.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Пункт</w:t>
            </w:r>
          </w:p>
        </w:tc>
        <w:tc>
          <w:tcPr>
            <w:tcW w:type="dxa" w:w="68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Ответ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Поля по теме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Дата начала бытования типа (DateStart) и дата конца (DateEnd). Фильтрация — по дате начала.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Названия в коде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import_categories — так называются коллекция, файлы, URL и будущая таблица в БД.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Цвета: кнопка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#FECF00, текст на ней #1A1A1A, радиус 999 px, высота 46 px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Цвета: фон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#111110 (в основе графит Arzamas #1A1A1A)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Цвета: текст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#E8E8E1 на тёмном фоне, #1A1A1A на светлом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Цвета: карточка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фон #E8E8E1, радиус 20 px, тень при наведении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Цвета: панель навигации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rgba(17,17,16,0.94), активный пункт #FECF00, неактивный #B8B8A8</w:t>
            </w:r>
          </w:p>
        </w:tc>
      </w:tr>
    </w:tbl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2. Что сделано (30 секунд на словах)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Мобильное веб-приложение на Go с тремя страницами: «Лента» (полноэкранное видео категории импорта, параметры и иконки в правом рельсе, описание в две строки с раскрытием «Ещё»), «Добавление» (пустая форма — сохранение появится в ЛР3) и «Плитка» (список категорий с фильтром-календарём по дате начала). Данные пока хранятся в памяти сервера массивом структур — база данных подключится в ЛР2. Медиа отдаются через отдельное S3-совместимое хранилище MinIO. Стиль интерфейса скопирован с arzamas.academy.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Ключевая мысль, которую нужно произнести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«Услуга» в моём варианте — не физический товар, а категория импортных находок, потому что тема историко-археологическая. Поэтому у категории есть центр производства, регион-поставщик и две даты — начало и конец бытования типа, а не цена и производитель.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3. Архитектура: паттерн MVT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MVT (Model – View – Template) — вариант MVC, принятый в Go/Django-подобных фреймворках. То, что в MVC называется «контроллером», здесь называют «View» (обработчик запроса), а представление вынесено в отдельный слой «Template».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4200"/>
      </w:tblGrid>
      <w:tr>
        <w:trPr>
          <w:tblHeader/>
        </w:trPr>
        <w:tc>
          <w:tcPr>
            <w:tcW w:type="dxa" w:w="20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Слой MVT</w:t>
            </w:r>
          </w:p>
        </w:tc>
        <w:tc>
          <w:tcPr>
            <w:tcW w:type="dxa" w:w="4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type="dxa" w:w="4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Файлы в проекте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Model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структуры данных + доступ к коллекции (фильтрация, расчёты)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internal/app/ds/import_category.go
internal/app/repository/import_categories*.go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View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принимает HTTP-запрос, достаёт данные из репозитория, выбирает шаблон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internal/app/handler/import_categories.go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Template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HTML-шаблоны, подстановка данных, экранирование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templates/import_category*.html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Соответствие MVC: Controller — маршрутизатор Gin внутри RegisterHandler; Model — ImportCategory и Repository; View — HTML-шаблоны плюс CSS.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Путь одного запроса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Браузер делает GET /import_categories/feed/3.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Gin по таблице маршрутов (RegisterHandler) находит функцию Handler.ImportCategoryFeed.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Она парсит :id и вызывает Repository.ImportCategoryByID(3) — это поход в Model.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Репозиторий ищет в массиве запись с ID=3 и статусом active.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Обработчик кладёт результат в gin.H и вызывает c.HTML(200, "import_category.html", data) — обращение к Template.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html/template подставляет данные, экранирует их и отдаёт готовую страницу.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4. Поля предметной области и даты до нашей эры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Два поля по теме — DateStart и DateEnd, обе типа time.Time: дата начала и дата конца бытования типа импортных товаров. Например, аттическая чернофигурная керамика бытует с 620 по 480 г. до н. э.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A1A1A"/>
        </w:rPr>
        <w:t xml:space="preserve">Важное место, которое стоит объяснить самому, не дожидаясь вопроса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Все датировки варианта относятся к эпохе до нашей эры, а HTML-поле input type=date не принимает отрицательный год — календарь просто не умеет показывать годы до н. э. Поэтому год до н. э. хранится положительным числом: 0620-01-01 читается как «620 г. до н. э.». В коде для этого есть конструктор ds.BCE(620), а в интерфейсе под фильтром и под полями формы стоит подпись-пояснение.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Прямое следствие: чем больше хранимая дата, тем раньше событие на шкале времени. Поэтому сравнения в фильтре и сортировке инвертированы, и каждое такое место помечено комментарием в коде. Это осознанное решение, а не ошибка — именно так и стоит сказать.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// ds.BCE собирает дату по году до нашей эры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func BCE(year int) time.Time {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return time.Date(year, time.January, 1, 0, 0, 0, 0, time.UTC)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}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// в данных это выглядит так: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DateStart: ds.BCE(620),   // 620 г. до н. э.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DateEnd:   ds.BCE(480),   // 480 г. до н. э.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5. Фильтрация календарём с кнопкой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На вкладке «Плитка» стоит форма с полем input type=date и кнопкой «Показать». Форма объявлена как method="get", поэтому выбранная дата уходит в query string, и фильтрация целиком происходит на сервере.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&lt;form class="filter" action="/import_categories" method="get"&gt;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&lt;input type="date" name="date_start" value="0500-01-01"&gt;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&lt;button type="submit"&gt;Показать&lt;/button&gt;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&lt;/form&gt;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Обработчик читает параметр, разбирает его и передаёт в репозиторий: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raw := c.Query("date_start")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parsed, err := time.Parse(ds.DateLayout, raw)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importCategories := h.Repository.ImportCategories(dateStart)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Внутри ImportCategories остаются только записи со статусом active, у которых дата начала не позже выбранной. Проверка: выбрать 0500-01-01 — из 15 категорий останется 6 (те, что появились раньше 500 г. до н. э.).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6. Статусы услуги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2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26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Где виден</w:t>
            </w:r>
          </w:p>
        </w:tc>
        <w:tc>
          <w:tcPr>
            <w:tcW w:type="dxa" w:w="4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Зачем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active (действует)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лента и плитка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основной видимый контент — 15 записей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deleted (удалена)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нигде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мягкое удаление: запись остаётся в массиве, но не попадает ни в одну выборку — 1 запись, мендейские амфоры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Черновика у услуги нет намеренно: по методичке черновик — это статус заявки, а не услуги, и он появится в ЛР3 вместе со второй сущностью. Если спросят «а где третий статус» — отвечать именно так.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7. Как устроена лента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Видео на весь экран с автопроигрыванием: атрибуты autoplay muted loop playsinline — это чистый HTML, без JavaScript.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Слева внизу: тег региона, название, центр производства, интервал дат и описание, обрезанное до двух строк.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Ссылка «Ещё» раскрывает полное описание и дополнительно показывает признаки-маркёры. Сделано скрытым чекбоксом и label — тоже без JavaScript (свойство -webkit-line-clamp снимается по :checked).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Справа вертикальный рельс: параметры категории (число находок и доля импорта) и обе иконки — лайк с количеством и «следующий» со стрелкой.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Кнопка «следующий» — иконка-ссылка на /import_categories/feed/{NextID}; следующий идентификатор вычисляет репозиторий по кругу.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8. Docker и MinIO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По заданию изображения и видео лежат не рядом с кодом, а в объектном хранилище. MinIO — self-hosted сервис с тем же API, что у Amazon S3.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Контейнер minio — само хранилище, порты 9000 (S3 API) и 9001 (веб-консоль).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Одноразовый контейнер minio-init создаёт бакет import-categories, открывает его на чтение и заливает файлы из media/img и media/video.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Приложение формирует прямые ссылки вида http://localhost:9000/import-categories/img/attic-black-figure.jpg.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// repository.New(mediaBase) — при старте приложения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items[i].ImageURL = fmt.Sprintf("%s/img/%s.jpg", base, items[i].Slug)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items[i].VideoURL = fmt.Sprintf("%s/video/%s.mp4", base, items[i].Slug)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Базовый адрес берётся из переменной окружения MEDIA_BASE_URL. Если MinIO не поднят, можно запустить с MEDIA_BASE_URL=/media — тогда медиа отдаст сам Go-сервер из локальной папки.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9. Дизайн: что скопировано у arzamas.academy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Стилистика снята с живого сайта через getComputedStyle — то есть замером реальных значений, а не на глаз.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rPr>
          <w:tblHeader/>
        </w:trPr>
        <w:tc>
          <w:tcPr>
            <w:tcW w:type="dxa" w:w="24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38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34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Где применено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Фон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#111110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фон всех экранов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Текст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#E8E8E1 / #1A1A1A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на тёмном и на светлом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Кнопка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#FECF00, радиус 999 px, высота 46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.btn--primary, .btn--filter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Карточка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#E8E8E1, радиус 20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.card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Панель навигации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rgba(17,17,16,0.94), активный #FECF00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.tabbar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Теги-пилюли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радиус 999, паддинг 0 × 16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.pill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Переход при hover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0.2s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--fast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Шрифт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Formular заменён на Inter/Helvetica Neue/Arial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во всём проекте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Про шрифт стоит сказать вслух: оригинальный Formular проприетарный, поэтому взят системный гротеск с похожим рисунком — это честнее, чем нелегальная копия.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10. Расчёт долей регионов — задел на «заявку» ЛР3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Тема требует заявку: расчёт удельного веса импорта из разных регионов. В ЛР1 это встроенный в плитку расчёт, который уже работает на реальных данных — это стоит подчеркнуть.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func (r *Repository) RegionShares() []ds.RegionShare {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// группируем действующие категории по полю Region,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// суммируем FindsCount и делим на общую массу находок:</w:t>
      </w:r>
    </w:p>
    <w:p>
      <w:pPr>
        <w:shd w:fill="F2F1EC" w:val="clear"/>
        <w:spacing w:after="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    share.Percent = float64(share.Finds) / float64(total) * 100.0</w:t>
      </w:r>
    </w:p>
    <w:p>
      <w:pPr>
        <w:shd w:fill="F2F1EC" w:val="clear"/>
        <w:spacing w:after="160" w:line="260"/>
        <w:ind w:left="200" w:right="200"/>
      </w:pPr>
      <w:r>
        <w:rPr>
          <w:rFonts w:ascii="Consolas" w:cs="Consolas" w:eastAsia="Consolas" w:hAnsi="Consolas"/>
          <w:color w:val="222222"/>
          <w:sz w:val="19"/>
          <w:szCs w:val="19"/>
        </w:rPr>
        <w:t xml:space="preserve">}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Итог выводится полосовой диаграммой на чистом CSS, без JavaScript. Сейчас в сводке 1343 фрагмента, лидируют Аттика (28.4 %) и Южное Причерноморье (24.7 %).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</w:rPr>
        <w:t xml:space="preserve">В ЛР3 эта логика переедет в отдельную сущность «Заявка» со статусом «черновик» и связью многие-ко-многим с категориями импорта.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11. Контрольные вопросы курса — развёрнутые ответы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В чём разница между MVC и MVT?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MVT — вариант MVC из Go/Django-подобных фреймворков. Model и Template соответствуют Model и View из MVC. А то, что в MVC называют View, в MVT называют тоже View, но по смыслу это контроллер: он не рисует HTML сам, а выбирает шаблон и передаёт ему данные. Роль настоящего контроллера — сопоставление URL и функции — берёт на себя фреймворк.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Какие компоненты MVC есть в вашей лабораторной?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Controller — маршрутизатор Gin внутри Handler.RegisterHandler. Model — структура ImportCategory (пакет ds) и Repository, который хранит коллекцию и умеет её фильтровать и агрегировать. View — HTML-шаблоны в templates/ плюс CSS в resources/styles/.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Что такое шаблонизация и как она работает у вас?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Подстановка данных в заранее заготовленный HTML вместо генерации разметки строками в коде. У меня это html/template из стандартной библиотеки Go: шаблоны компилируются один раз при старте через LoadHTMLGlob, а при каждом запросе в них подставляется gin.H с данными. Контекстно-зависимое экранирование защищает от XSS без дополнительного кода.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Как соотносится HTTP с моделью OSI?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HTTP — протокол прикладного уровня, 7-й уровень OSI, работает поверх TCP (4-й уровень). Запрос состоит из стартовой строки «метод URI версия», заголовков и необязательного тела. В работе используется только GET, поэтому все параметры идут через путь URL (:id) или query string (?date_start=).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Какие коды состояния использует приложение?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200 OK — успешный рендер; 302 Found — редирект с / на первую карточку ленты; 404 Not Found — запрос несуществующей или удалённой категории, рендерится error.html.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Почему для фильтрации выбран GET, а не POST?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Фильтрация — операция чтения: она не меняет состояние на сервере и идемпотентна. По HTTP-семантике для этого предназначен GET, а его параметры видны в URL, поэтому отфильтрованную страницу можно переслать ссылкой или сохранить в закладки.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Почему статус deleted не убирает запись из массива?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Это мягкое удаление (soft delete) — стандартный приём реальных БД: запись остаётся, но помечается флагом и перестаёт попадать в публичные выборки. Так её можно восстановить и сохранить историю, что невозможно при физическом удалении.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Почему у услуги нет статуса «черновик»?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По методичке черновик — статус заявки, а не услуги: заявка формируется пользователем и до отправки лежит черновиком. У услуги состояний два: действует и удалена. Черновик появится в ЛР3 вместе со второй сущностью.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Зачем медиа хранится в MinIO, а не в папке проекта?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Так ближе к реальной архитектуре: в модели хранится не сам файл, а ссылка на объект во внешнем хранилище. Это позволяет масштабировать хранение независимо от приложения, отдавать статику через CDN и не держать бинарные файлы в репозитории.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Где в проекте используется JavaScript?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Нигде. Фильтрация — обычная форма с method="get"; диаграмма долей — CSS-полосы с шириной в процентах; раскрытие описания по «Ещё» — скрытый чекбокс и label с CSS-селектором :checked; автопроигрывание видео — атрибуты HTML.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12. Вероятные дополнительные вопросы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Почему сущность называется import_categories, а не services?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Потому что имя должно отражать предметную область варианта: услуга здесь — категория импортных товаров. Это имя используется сквозно: файлы (import_category.go, import_categories.go), коллекция, три URL, бакет MinIO и будущая таблица в PostgreSQL в ЛР2.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Что появится в ЛР2 и ЛР3?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В ЛР2 коллекция переедет из массива в PostgreSQL через GORM — таблица import_categories, миграции, связи. В ЛР3 появится вторая сущность «Заявка» (расчёт долей по выбранному набору категорий) со статусом «черновик» и связью многие-ко-многим, а также операции создания и сохранения, которых пока нет намеренно.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Почему выбраны Go и Gin?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Go даёт быструю компиляцию и статическую типизацию, что упрощает поддержку по мере роста проекта, а Gin — минималистичный фреймворк с удобной маршрутизацией и встроенной поддержкой html/template, не навязывающий лишней архитектуры сверх MVT.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Как отсортирован список категорий?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Хронологически — от самых ранних категорий к поздним. Сортировка выполняется на сервере в методе ImportCategories через sort.Slice; поскольку год до н. э. хранится положительным числом, сравнение там инвертировано.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B8860B"/>
        </w:rPr>
        <w:t xml:space="preserve">В: </w:t>
      </w:r>
      <w:r>
        <w:rPr>
          <w:rFonts w:ascii="Calibri" w:cs="Calibri" w:eastAsia="Calibri" w:hAnsi="Calibri"/>
          <w:b/>
          <w:bCs/>
          <w:color w:val="1A1A1A"/>
        </w:rPr>
        <w:t xml:space="preserve">Как логируются запросы?</w:t>
      </w:r>
    </w:p>
    <w:p>
      <w:pPr>
        <w:spacing w:after="120" w:line="300"/>
        <w:ind w:left="260"/>
      </w:pPr>
      <w:r>
        <w:rPr>
          <w:rFonts w:ascii="Calibri" w:cs="Calibri" w:eastAsia="Calibri" w:hAnsi="Calibri"/>
          <w:b/>
          <w:bCs/>
        </w:rPr>
        <w:t xml:space="preserve">О: </w:t>
      </w:r>
      <w:r>
        <w:rPr>
          <w:rFonts w:ascii="Calibri" w:cs="Calibri" w:eastAsia="Calibri" w:hAnsi="Calibri"/>
        </w:rPr>
        <w:t xml:space="preserve">Через logrus: каждый обработчик пишет строку вида «GET /import_categories?date_start=0500-01-01 — найдено 6 категорий», плюс встроенный логгер Gin пишет строку на каждый HTTP-запрос с кодом ответа и временем обработки.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13. Порядок показа на защите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Скриншоты 1–7: задание по теме-варианту из списка; макеты трёх экранов в Figma рядом с теми же экранами в приложении.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Скриншоты 8–9: arzamas.academy рядом с макетом; назвать кнопку, фон, текст, карточку и панель навигации с точными цветами, показать их в app.css (блок :root).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Скриншоты 10–12: три страницы приложения; во вкладке Network показать date_start в query string и id услуги в пути URL.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Скриншоты 13–17: HTML Response страницы плитки со ссылками на import-categories/img/… и /video/…; в коде — repository.New, где эти ссылки формируются, и их использование в трёх шаблонах.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Calibri" w:cs="Calibri" w:eastAsia="Calibri" w:hAnsi="Calibri"/>
        </w:rPr>
        <w:t xml:space="preserve">Скриншоты 18–19: RegisterHandler с тремя URL и тремя контроллерами; объяснить фильтрацию через Repository.ImportCategories(dateStart).</w:t>
      </w:r>
    </w:p>
    <w:p>
      <w:pPr>
        <w:pStyle w:val="Heading1"/>
        <w:pBdr>
          <w:bottom w:val="single" w:color="B8860B" w:sz="6"/>
        </w:pBdr>
        <w:spacing w:after="160" w:before="360"/>
      </w:pPr>
      <w:r>
        <w:rPr>
          <w:rFonts w:ascii="Calibri" w:cs="Calibri" w:eastAsia="Calibri" w:hAnsi="Calibri"/>
          <w:b/>
          <w:bCs/>
          <w:color w:val="1A1A1A"/>
        </w:rPr>
        <w:t xml:space="preserve">14. Мини-глоссарий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6400"/>
            <w:shd w:fill="1A1A1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Простыми словами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MVT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Model–View–Template: данные / код-посредник / HTML-шаблон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Репозиторий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слой кода, который единственный знает, как устроено хранилище, и прячет это от остального приложения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Хендлер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функция, обрабатывающая конкретный HTTP-запрос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Роутинг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сопоставление URL-адреса и функции, которая его обрабатывает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Идемпотентность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повторный вызов с теми же параметрами не меняет результат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Мягкое удаление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запись помечается как удалённая, но физически остаётся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S3 / объектное хранилище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сервис хранения файлов по ключу-ссылке, а не в файловой системе приложения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XSS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19"/>
                <w:szCs w:val="19"/>
              </w:rPr>
              <w:t xml:space="preserve">внедрение вредоносного скрипта через непроверенные данные; html/template экранирует данные автоматически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2026-09-22T14:49:43.357Z</dcterms:created>
  <dcterms:modified xsi:type="dcterms:W3CDTF">2026-09-22T14:49:43.367Z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