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B7DB" w14:textId="77777777" w:rsidR="00415621" w:rsidRDefault="00A511C7" w:rsidP="00A511C7">
      <w:pPr>
        <w:pStyle w:val="aa"/>
        <w:jc w:val="center"/>
      </w:pPr>
      <w:r>
        <w:rPr>
          <w:noProof/>
        </w:rPr>
        <w:drawing>
          <wp:anchor distT="0" distB="0" distL="114300" distR="114300" simplePos="0" relativeHeight="251657728" behindDoc="1" locked="0" layoutInCell="1" allowOverlap="1" wp14:anchorId="3640FDFE" wp14:editId="401AAF7A">
            <wp:simplePos x="0" y="0"/>
            <wp:positionH relativeFrom="column">
              <wp:posOffset>-861060</wp:posOffset>
            </wp:positionH>
            <wp:positionV relativeFrom="paragraph">
              <wp:posOffset>-586740</wp:posOffset>
            </wp:positionV>
            <wp:extent cx="906780" cy="906780"/>
            <wp:effectExtent l="0" t="0" r="0" b="7620"/>
            <wp:wrapNone/>
            <wp:docPr id="1" name="Picture 1" descr="Mentalaba - Universitet haq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talaba - Universitet haqid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50B2">
        <w:t>Group Project Report</w:t>
      </w:r>
    </w:p>
    <w:p w14:paraId="03661AB6" w14:textId="77777777" w:rsidR="00A511C7" w:rsidRDefault="00A511C7" w:rsidP="00A511C7">
      <w:pPr>
        <w:jc w:val="center"/>
      </w:pPr>
    </w:p>
    <w:p w14:paraId="7F1B7CE6" w14:textId="77777777" w:rsidR="00A511C7" w:rsidRDefault="00A511C7" w:rsidP="00A511C7">
      <w:pPr>
        <w:jc w:val="center"/>
      </w:pPr>
    </w:p>
    <w:p w14:paraId="5C937A04" w14:textId="77777777" w:rsidR="00A511C7" w:rsidRDefault="00A511C7" w:rsidP="00A511C7">
      <w:pPr>
        <w:jc w:val="center"/>
      </w:pPr>
    </w:p>
    <w:p w14:paraId="20BCCC0A" w14:textId="77777777" w:rsidR="00A511C7" w:rsidRDefault="00A511C7" w:rsidP="00A511C7">
      <w:pPr>
        <w:jc w:val="center"/>
      </w:pPr>
    </w:p>
    <w:p w14:paraId="05EC5448" w14:textId="77777777" w:rsidR="00415621" w:rsidRPr="00A511C7" w:rsidRDefault="005550B2" w:rsidP="00A511C7">
      <w:pPr>
        <w:jc w:val="center"/>
        <w:rPr>
          <w:sz w:val="56"/>
          <w:szCs w:val="56"/>
        </w:rPr>
      </w:pPr>
      <w:r w:rsidRPr="00A511C7">
        <w:rPr>
          <w:sz w:val="56"/>
          <w:szCs w:val="56"/>
        </w:rPr>
        <w:t>Customer Churn Prediction Using Machine Learning</w:t>
      </w:r>
    </w:p>
    <w:p w14:paraId="566A0DEB" w14:textId="77777777" w:rsidR="00415621" w:rsidRPr="00A511C7" w:rsidRDefault="00A511C7" w:rsidP="00A511C7">
      <w:pPr>
        <w:jc w:val="center"/>
        <w:rPr>
          <w:sz w:val="36"/>
          <w:szCs w:val="36"/>
        </w:rPr>
      </w:pPr>
      <w:r w:rsidRPr="00A511C7">
        <w:rPr>
          <w:sz w:val="36"/>
          <w:szCs w:val="36"/>
        </w:rPr>
        <w:t>AIML</w:t>
      </w:r>
      <w:r w:rsidR="00905B67">
        <w:rPr>
          <w:sz w:val="36"/>
          <w:szCs w:val="36"/>
        </w:rPr>
        <w:t>201</w:t>
      </w:r>
    </w:p>
    <w:p w14:paraId="3DA4E050" w14:textId="77777777" w:rsidR="00A511C7" w:rsidRDefault="00A511C7"/>
    <w:p w14:paraId="793E4522" w14:textId="77777777" w:rsidR="00A511C7" w:rsidRDefault="00A511C7"/>
    <w:p w14:paraId="64EF3504" w14:textId="77777777" w:rsidR="00415621" w:rsidRDefault="005550B2">
      <w:r>
        <w:br/>
      </w:r>
      <w:r w:rsidRPr="00A511C7">
        <w:rPr>
          <w:sz w:val="28"/>
          <w:szCs w:val="28"/>
        </w:rPr>
        <w:t>Group Members:</w:t>
      </w:r>
      <w:r>
        <w:br/>
      </w:r>
    </w:p>
    <w:p w14:paraId="47D1CA79" w14:textId="77777777" w:rsidR="00415621" w:rsidRDefault="005550B2">
      <w:r>
        <w:t>1. Umidjon Tojiboyev</w:t>
      </w:r>
    </w:p>
    <w:p w14:paraId="56514CA3" w14:textId="77777777" w:rsidR="00415621" w:rsidRDefault="005550B2">
      <w:r>
        <w:t>2. Sardor Fatxullayev</w:t>
      </w:r>
    </w:p>
    <w:p w14:paraId="07F5EA67" w14:textId="77777777" w:rsidR="00415621" w:rsidRDefault="005550B2">
      <w:r>
        <w:t xml:space="preserve">3. </w:t>
      </w:r>
      <w:proofErr w:type="spellStart"/>
      <w:r>
        <w:t>Zoirxon</w:t>
      </w:r>
      <w:proofErr w:type="spellEnd"/>
      <w:r>
        <w:t xml:space="preserve"> Fozilxonov</w:t>
      </w:r>
    </w:p>
    <w:p w14:paraId="002E1517" w14:textId="77777777" w:rsidR="00A511C7" w:rsidRDefault="00A511C7" w:rsidP="00A511C7"/>
    <w:p w14:paraId="02EBB228" w14:textId="77777777" w:rsidR="00A511C7" w:rsidRDefault="00A511C7"/>
    <w:p w14:paraId="271E4EBF" w14:textId="77777777" w:rsidR="00A511C7" w:rsidRDefault="00A511C7"/>
    <w:p w14:paraId="50BFCFAA" w14:textId="77777777" w:rsidR="00A511C7" w:rsidRPr="00A511C7" w:rsidRDefault="00A511C7">
      <w:pPr>
        <w:rPr>
          <w:sz w:val="28"/>
          <w:szCs w:val="28"/>
        </w:rPr>
      </w:pPr>
      <w:r w:rsidRPr="00A511C7">
        <w:rPr>
          <w:sz w:val="28"/>
          <w:szCs w:val="28"/>
        </w:rPr>
        <w:t xml:space="preserve">GitHub Link: </w:t>
      </w:r>
    </w:p>
    <w:p w14:paraId="698E81FD" w14:textId="77777777" w:rsidR="00A511C7" w:rsidRDefault="00A511C7"/>
    <w:p w14:paraId="1B1DA52C" w14:textId="77777777" w:rsidR="00A511C7" w:rsidRDefault="00A511C7"/>
    <w:p w14:paraId="5B564FCA" w14:textId="77777777" w:rsidR="00415621" w:rsidRDefault="00A511C7">
      <w:r>
        <w:t xml:space="preserve"> </w:t>
      </w:r>
    </w:p>
    <w:p w14:paraId="193FEB2D" w14:textId="77777777" w:rsidR="00A511C7" w:rsidRDefault="00A511C7"/>
    <w:p w14:paraId="442DDB50" w14:textId="77777777" w:rsidR="00415621" w:rsidRDefault="005550B2" w:rsidP="00A511C7">
      <w:pPr>
        <w:pStyle w:val="1"/>
        <w:jc w:val="center"/>
        <w:rPr>
          <w:sz w:val="40"/>
          <w:szCs w:val="40"/>
        </w:rPr>
      </w:pPr>
      <w:r w:rsidRPr="00A511C7">
        <w:rPr>
          <w:sz w:val="40"/>
          <w:szCs w:val="40"/>
        </w:rPr>
        <w:lastRenderedPageBreak/>
        <w:t>Abstract</w:t>
      </w:r>
    </w:p>
    <w:p w14:paraId="2E436E38" w14:textId="77777777" w:rsidR="00A511C7" w:rsidRPr="00A511C7" w:rsidRDefault="00A511C7" w:rsidP="00A511C7"/>
    <w:p w14:paraId="6BE8323B" w14:textId="77777777" w:rsidR="00415621" w:rsidRDefault="00A511C7">
      <w:r>
        <w:t xml:space="preserve">This project addresses the problem of customer churn prediction in the telecommunications industry using supervised machine learning. We worked with the IBM Telco Customer Churn dataset, which has 7043 customers and 35 features after preprocessing. We trained and compared three classifiers: Logistic Regression, Random Forest, and a Support Vector Machine with an RBF kernel. We used a stratified 80/20 train and test split with class balanced weighting to handle the 26.54% churn rate. Hyperparameters were tuned with </w:t>
      </w:r>
      <w:proofErr w:type="gramStart"/>
      <w:r>
        <w:t>5 fold</w:t>
      </w:r>
      <w:proofErr w:type="gramEnd"/>
      <w:r>
        <w:t xml:space="preserve"> cross validated ROC-AUC. The best performing model was Random Forest, which achieved a test ROC-AUC of 0.8438 and an F1 score of 0.6403 on the churn class. Feature importance analysis confirmed that contract type, tenure, and total charges are the strongest churn drivers.</w:t>
      </w:r>
    </w:p>
    <w:p w14:paraId="45DC041C" w14:textId="77777777" w:rsidR="00415621" w:rsidRPr="005550B2" w:rsidRDefault="005550B2" w:rsidP="00A511C7">
      <w:pPr>
        <w:pStyle w:val="1"/>
        <w:jc w:val="center"/>
        <w:rPr>
          <w:sz w:val="40"/>
          <w:szCs w:val="40"/>
        </w:rPr>
      </w:pPr>
      <w:r w:rsidRPr="005550B2">
        <w:rPr>
          <w:sz w:val="40"/>
          <w:szCs w:val="40"/>
        </w:rPr>
        <w:t>Contents</w:t>
      </w:r>
    </w:p>
    <w:p w14:paraId="2496779F" w14:textId="77777777" w:rsidR="00A511C7" w:rsidRDefault="00A511C7" w:rsidP="00A511C7"/>
    <w:p w14:paraId="3B77D33F" w14:textId="77777777" w:rsidR="00A511C7" w:rsidRDefault="00A511C7" w:rsidP="00A511C7"/>
    <w:p w14:paraId="7EEFF279" w14:textId="77777777" w:rsidR="00A511C7" w:rsidRPr="00A511C7" w:rsidRDefault="00A511C7" w:rsidP="00A511C7"/>
    <w:p w14:paraId="5635FCF3" w14:textId="77777777" w:rsidR="00415621" w:rsidRDefault="005550B2">
      <w:r>
        <w:t>1 Introduction</w:t>
      </w:r>
    </w:p>
    <w:p w14:paraId="7035CCD1" w14:textId="77777777" w:rsidR="00415621" w:rsidRDefault="005550B2">
      <w:r>
        <w:t>2 Theoretical Part</w:t>
      </w:r>
    </w:p>
    <w:p w14:paraId="5AFF6642" w14:textId="77777777" w:rsidR="00415621" w:rsidRDefault="005550B2">
      <w:r>
        <w:t>3 Practical Implementation</w:t>
      </w:r>
    </w:p>
    <w:p w14:paraId="1302E764" w14:textId="77777777" w:rsidR="00415621" w:rsidRDefault="005550B2">
      <w:r>
        <w:t>4 Results and Discussion</w:t>
      </w:r>
    </w:p>
    <w:p w14:paraId="7173B301" w14:textId="77777777" w:rsidR="00415621" w:rsidRDefault="005550B2">
      <w:r>
        <w:t>5 Conclusion and Future Work</w:t>
      </w:r>
    </w:p>
    <w:p w14:paraId="7EA718BB" w14:textId="77777777" w:rsidR="00415621" w:rsidRDefault="005550B2">
      <w:proofErr w:type="gramStart"/>
      <w:r>
        <w:t>A</w:t>
      </w:r>
      <w:proofErr w:type="gramEnd"/>
      <w:r>
        <w:t xml:space="preserve"> Appendix</w:t>
      </w:r>
    </w:p>
    <w:p w14:paraId="6B6CC95F" w14:textId="77777777" w:rsidR="00415621" w:rsidRDefault="005550B2">
      <w:r>
        <w:t>B Individual Member Contributions</w:t>
      </w:r>
    </w:p>
    <w:p w14:paraId="47764310" w14:textId="77777777" w:rsidR="00415621" w:rsidRDefault="005550B2">
      <w:r>
        <w:br w:type="page"/>
      </w:r>
    </w:p>
    <w:p w14:paraId="1EF798E7" w14:textId="77777777" w:rsidR="00415621" w:rsidRDefault="005550B2" w:rsidP="00A511C7">
      <w:pPr>
        <w:pStyle w:val="1"/>
        <w:jc w:val="center"/>
        <w:rPr>
          <w:sz w:val="40"/>
          <w:szCs w:val="40"/>
        </w:rPr>
      </w:pPr>
      <w:r w:rsidRPr="00A511C7">
        <w:rPr>
          <w:sz w:val="40"/>
          <w:szCs w:val="40"/>
        </w:rPr>
        <w:lastRenderedPageBreak/>
        <w:t>Chapter 1: Introduction</w:t>
      </w:r>
    </w:p>
    <w:p w14:paraId="1BB19276" w14:textId="77777777" w:rsidR="00A511C7" w:rsidRPr="00A511C7" w:rsidRDefault="00A511C7" w:rsidP="00A511C7"/>
    <w:p w14:paraId="064C89B8" w14:textId="77777777" w:rsidR="00415621" w:rsidRDefault="00A511C7">
      <w:r>
        <w:t>Customer churn is the rate at which customers stop doing business with a company. It is one of the most important metrics in subscription industries like telecommunications. Acquiring a new customer is reported to cost five to seven times as much as retaining an existing one, so even small improvements in churn prediction translate into significant revenue protection. The challenge is that churn is the outcome of many interacting factors such as contract type, tenure, service mix, billing method and price sensitivity. This makes it well suited to machine learning approaches that can model non-linear interactions across many variables.</w:t>
      </w:r>
    </w:p>
    <w:p w14:paraId="414C0AF2" w14:textId="77777777" w:rsidR="00415621" w:rsidRDefault="00A511C7">
      <w:r>
        <w:t xml:space="preserve">The objectives of this project are listed below. First, perform exploratory data analysis on the IBM Telco Customer Churn dataset to identify patterns associated with churn. Second, preprocess the raw data into a form suitable for machine learning, including handling of missing values, encoding of categorical variables and feature scaling. Third, train three supervised classifiers, namely Logistic Regression, Random Forest and SVM with an RBF kernel, all using class balanced weighting. Fourth, evaluate and compare the </w:t>
      </w:r>
      <w:proofErr w:type="gramStart"/>
      <w:r>
        <w:t>models</w:t>
      </w:r>
      <w:proofErr w:type="gramEnd"/>
      <w:r>
        <w:t xml:space="preserve"> using accuracy, precision, recall, F1 score and ROC-AUC. Fifth, interpret the best model through feature importance to surface useful business insights.</w:t>
      </w:r>
    </w:p>
    <w:p w14:paraId="1D4CBB1C" w14:textId="77777777" w:rsidR="00415621" w:rsidRDefault="00A511C7">
      <w:r>
        <w:t xml:space="preserve">Scope. The work is restricted to binary classification of the Churn column with values Yes and No on the publicly available IBM Telco dataset. It is implemented in Python 3 using pandas, scikit-learn and </w:t>
      </w:r>
      <w:proofErr w:type="spellStart"/>
      <w:r>
        <w:t>Jupyter</w:t>
      </w:r>
      <w:proofErr w:type="spellEnd"/>
      <w:r>
        <w:t>. Deployment, real time inference and integration with a CRM are out of scope.</w:t>
      </w:r>
    </w:p>
    <w:p w14:paraId="23B2E8CE" w14:textId="77777777" w:rsidR="00415621" w:rsidRPr="00A511C7" w:rsidRDefault="005550B2" w:rsidP="00A511C7">
      <w:pPr>
        <w:pStyle w:val="1"/>
        <w:jc w:val="center"/>
        <w:rPr>
          <w:sz w:val="40"/>
          <w:szCs w:val="40"/>
        </w:rPr>
      </w:pPr>
      <w:r w:rsidRPr="00A511C7">
        <w:rPr>
          <w:sz w:val="40"/>
          <w:szCs w:val="40"/>
        </w:rPr>
        <w:t>Chapter 2: Theoretical Part</w:t>
      </w:r>
    </w:p>
    <w:p w14:paraId="2199F331" w14:textId="77777777" w:rsidR="00415621" w:rsidRDefault="00A511C7">
      <w:r>
        <w:t xml:space="preserve">Logistic Regression. This is a linear model for binary classification. It estimates the probability of the positive class through the sigmoid function σ(z) = 1 / (1 + e^(-z)), where z = </w:t>
      </w:r>
      <w:proofErr w:type="spellStart"/>
      <w:r>
        <w:t>w·x</w:t>
      </w:r>
      <w:proofErr w:type="spellEnd"/>
      <w:r>
        <w:t xml:space="preserve"> + b. The model is trained by </w:t>
      </w:r>
      <w:proofErr w:type="spellStart"/>
      <w:r>
        <w:t>minimising</w:t>
      </w:r>
      <w:proofErr w:type="spellEnd"/>
      <w:r>
        <w:t xml:space="preserve"> the negative log likelihood, also called cross entropy, with optional L1 or L2 </w:t>
      </w:r>
      <w:proofErr w:type="spellStart"/>
      <w:r>
        <w:t>regularisation</w:t>
      </w:r>
      <w:proofErr w:type="spellEnd"/>
      <w:r>
        <w:t>. It is fast, interpretable through the sign and magnitude of its coefficients, and serves as a strong linear baseline.</w:t>
      </w:r>
    </w:p>
    <w:p w14:paraId="2A1355CD" w14:textId="77777777" w:rsidR="00415621" w:rsidRDefault="00A511C7">
      <w:r>
        <w:t xml:space="preserve">Random Forest. This is an ensemble of decision trees built on bootstrap samples of the training set. Each split considers a random subset of features. Individual trees are grown using the Gini impurity criterion Gini = 1 − Σ p_i², where </w:t>
      </w:r>
      <w:proofErr w:type="spellStart"/>
      <w:r>
        <w:t>p_i</w:t>
      </w:r>
      <w:proofErr w:type="spellEnd"/>
      <w:r>
        <w:t xml:space="preserve"> is the proportion of class </w:t>
      </w:r>
      <w:proofErr w:type="spellStart"/>
      <w:r>
        <w:t>i</w:t>
      </w:r>
      <w:proofErr w:type="spellEnd"/>
      <w:r>
        <w:t xml:space="preserve"> in the node. Predictions are aggregated by majority vote, or by mean class probability. The ensemble averages out the high variance of individual trees, captures non-linear interactions and exposes feature importances based on mean impurity decrease.</w:t>
      </w:r>
    </w:p>
    <w:p w14:paraId="42CF5963" w14:textId="77777777" w:rsidR="00415621" w:rsidRDefault="00A511C7">
      <w:r>
        <w:t xml:space="preserve">Support Vector Machine with RBF kernel. SVM finds a separating hyperplane that </w:t>
      </w:r>
      <w:proofErr w:type="spellStart"/>
      <w:r>
        <w:t>maximises</w:t>
      </w:r>
      <w:proofErr w:type="spellEnd"/>
      <w:r>
        <w:t xml:space="preserve"> the margin 2/||w|| between classes. The radial basis function kernel, also known as the Gaussian kernel, has the form </w:t>
      </w:r>
      <w:proofErr w:type="gramStart"/>
      <w:r>
        <w:t>K(</w:t>
      </w:r>
      <w:proofErr w:type="gramEnd"/>
      <w:r>
        <w:t xml:space="preserve">x, x') = </w:t>
      </w:r>
      <w:proofErr w:type="gramStart"/>
      <w:r>
        <w:t>exp(</w:t>
      </w:r>
      <w:proofErr w:type="gramEnd"/>
      <w:r>
        <w:t xml:space="preserve">−γ ||x − x'||²). It implicitly maps inputs </w:t>
      </w:r>
      <w:r>
        <w:lastRenderedPageBreak/>
        <w:t xml:space="preserve">into an infinite dimensional space and enables non-linear decision boundaries. The hyperparameter C controls the </w:t>
      </w:r>
      <w:proofErr w:type="spellStart"/>
      <w:r>
        <w:t>trade off</w:t>
      </w:r>
      <w:proofErr w:type="spellEnd"/>
      <w:r>
        <w:t xml:space="preserve"> between margin width and classification error, while γ controls the influence radius of each training point.</w:t>
      </w:r>
    </w:p>
    <w:p w14:paraId="27A5027C" w14:textId="77777777" w:rsidR="00415621" w:rsidRDefault="00A511C7">
      <w:r>
        <w:t>Evaluation metrics. Accuracy is defined as TP + TN divided by TP + TN + FP + FN. Precision is TP divided by TP + FP, which tells us, of those we flagged as churners, how many actually churned. Recall is TP divided by TP + FN, which tells us, of all true churners, how many we caught. F1 = 2·P·R / P + R is the harmonic mean of precision and recall and is important when classes are imbalanced. ROC-AUC is the area under the Receiver Operating Characteristic curve, which plots the true positive rate against the false positive rate across thresholds. It is threshold independent and well suited for ranking quality assessment on imbalanced data.</w:t>
      </w:r>
    </w:p>
    <w:p w14:paraId="005D0885" w14:textId="77777777" w:rsidR="00415621" w:rsidRPr="00A511C7" w:rsidRDefault="005550B2" w:rsidP="00A511C7">
      <w:pPr>
        <w:pStyle w:val="1"/>
        <w:jc w:val="center"/>
        <w:rPr>
          <w:sz w:val="40"/>
          <w:szCs w:val="40"/>
        </w:rPr>
      </w:pPr>
      <w:r w:rsidRPr="00A511C7">
        <w:rPr>
          <w:sz w:val="40"/>
          <w:szCs w:val="40"/>
        </w:rPr>
        <w:t>Chapter 3: Practical Implementation</w:t>
      </w:r>
    </w:p>
    <w:p w14:paraId="0C1C9602" w14:textId="77777777" w:rsidR="00415621" w:rsidRDefault="00A511C7">
      <w:r>
        <w:t xml:space="preserve">Dataset. The IBM Telco Customer Churn dataset contains 7,043 customer records and 21 raw columns. The columns cover demographics such as gender, senior citizen status, partner and dependents. They also cover account information such as tenure, contract type, payment method, paperless billing, monthly charges and total charges. </w:t>
      </w:r>
      <w:proofErr w:type="gramStart"/>
      <w:r>
        <w:t>Finally</w:t>
      </w:r>
      <w:proofErr w:type="gramEnd"/>
      <w:r>
        <w:t xml:space="preserve"> they cover the subscribed services, which include phone, internet, online security, online backup, device protection, tech support, streaming TV and streaming movies. The target column named Churn indicates whether the customer left within the last month. About 26.54% of records are positive, so the dataset is moderately imbalanced.</w:t>
      </w:r>
    </w:p>
    <w:p w14:paraId="3FB38D57" w14:textId="77777777" w:rsidR="00415621" w:rsidRDefault="00A511C7">
      <w:r>
        <w:t xml:space="preserve">EDA findings. Customers on </w:t>
      </w:r>
      <w:proofErr w:type="gramStart"/>
      <w:r>
        <w:t>month to month</w:t>
      </w:r>
      <w:proofErr w:type="gramEnd"/>
      <w:r>
        <w:t xml:space="preserve"> contracts churn much more than customers on one year or </w:t>
      </w:r>
      <w:proofErr w:type="gramStart"/>
      <w:r>
        <w:t>two year</w:t>
      </w:r>
      <w:proofErr w:type="gramEnd"/>
      <w:r>
        <w:t xml:space="preserve"> contracts. Churners are concentrated in the low tenure region, mostly under 12 months. Customers with higher monthly charges churn more often than customers on cheaper plans, and </w:t>
      </w:r>
      <w:proofErr w:type="spellStart"/>
      <w:r>
        <w:t>fibre</w:t>
      </w:r>
      <w:proofErr w:type="spellEnd"/>
      <w:r>
        <w:t xml:space="preserve"> optic internet subscribers churn the most among them. These patterns informed the choice of class balanced weighting and the expectation that contract type and tenure would dominate feature importance.</w:t>
      </w:r>
    </w:p>
    <w:p w14:paraId="664216D0" w14:textId="77777777" w:rsidR="00415621" w:rsidRDefault="00A511C7">
      <w:pPr>
        <w:jc w:val="center"/>
      </w:pPr>
      <w:r>
        <w:rPr>
          <w:noProof/>
        </w:rPr>
        <w:drawing>
          <wp:inline distT="0" distB="0" distL="0" distR="0" wp14:anchorId="3626B503" wp14:editId="05FB0B16">
            <wp:extent cx="530352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churn_dist.png"/>
                    <pic:cNvPicPr/>
                  </pic:nvPicPr>
                  <pic:blipFill>
                    <a:blip r:embed="rId7"/>
                    <a:stretch>
                      <a:fillRect/>
                    </a:stretch>
                  </pic:blipFill>
                  <pic:spPr>
                    <a:xfrm>
                      <a:off x="0" y="0"/>
                      <a:ext cx="5303520" cy="2209800"/>
                    </a:xfrm>
                    <a:prstGeom prst="rect">
                      <a:avLst/>
                    </a:prstGeom>
                  </pic:spPr>
                </pic:pic>
              </a:graphicData>
            </a:graphic>
          </wp:inline>
        </w:drawing>
      </w:r>
    </w:p>
    <w:p w14:paraId="107220C7" w14:textId="77777777" w:rsidR="00415621" w:rsidRDefault="00A511C7">
      <w:pPr>
        <w:jc w:val="center"/>
      </w:pPr>
      <w:r>
        <w:rPr>
          <w:i/>
        </w:rPr>
        <w:lastRenderedPageBreak/>
        <w:t>Figure 1. Churn class distribution as pie and bar charts.</w:t>
      </w:r>
    </w:p>
    <w:p w14:paraId="05602566" w14:textId="77777777" w:rsidR="00415621" w:rsidRDefault="00A511C7">
      <w:pPr>
        <w:jc w:val="center"/>
      </w:pPr>
      <w:r>
        <w:rPr>
          <w:noProof/>
        </w:rPr>
        <w:drawing>
          <wp:inline distT="0" distB="0" distL="0" distR="0" wp14:anchorId="0AE4FA0D" wp14:editId="0D597AE6">
            <wp:extent cx="5669280" cy="157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eda.png"/>
                    <pic:cNvPicPr/>
                  </pic:nvPicPr>
                  <pic:blipFill>
                    <a:blip r:embed="rId8"/>
                    <a:stretch>
                      <a:fillRect/>
                    </a:stretch>
                  </pic:blipFill>
                  <pic:spPr>
                    <a:xfrm>
                      <a:off x="0" y="0"/>
                      <a:ext cx="5669280" cy="1574800"/>
                    </a:xfrm>
                    <a:prstGeom prst="rect">
                      <a:avLst/>
                    </a:prstGeom>
                  </pic:spPr>
                </pic:pic>
              </a:graphicData>
            </a:graphic>
          </wp:inline>
        </w:drawing>
      </w:r>
    </w:p>
    <w:p w14:paraId="548768E2" w14:textId="77777777" w:rsidR="00415621" w:rsidRDefault="00A511C7">
      <w:pPr>
        <w:jc w:val="center"/>
      </w:pPr>
      <w:r>
        <w:rPr>
          <w:i/>
        </w:rPr>
        <w:t>Figure 2. Churn breakdown by contract type, tenure and monthly charges.</w:t>
      </w:r>
    </w:p>
    <w:p w14:paraId="69CF9418" w14:textId="77777777" w:rsidR="00415621" w:rsidRDefault="00A511C7">
      <w:r>
        <w:t xml:space="preserve">Preprocessing pipeline. The pipeline has 8 steps. Step 1, drop the </w:t>
      </w:r>
      <w:proofErr w:type="spellStart"/>
      <w:r>
        <w:t>customerID</w:t>
      </w:r>
      <w:proofErr w:type="spellEnd"/>
      <w:r>
        <w:t xml:space="preserve"> column because it is a unique identifier with no predictive value. Step 2, coerce </w:t>
      </w:r>
      <w:proofErr w:type="spellStart"/>
      <w:r>
        <w:t>TotalCharges</w:t>
      </w:r>
      <w:proofErr w:type="spellEnd"/>
      <w:r>
        <w:t xml:space="preserve"> from string to numeric using </w:t>
      </w:r>
      <w:proofErr w:type="spellStart"/>
      <w:r>
        <w:t>pandas.to_numeric</w:t>
      </w:r>
      <w:proofErr w:type="spellEnd"/>
      <w:r>
        <w:t xml:space="preserve"> with errors='coerce', which converts the 11 blank entries into </w:t>
      </w:r>
      <w:proofErr w:type="spellStart"/>
      <w:r>
        <w:t>NaN</w:t>
      </w:r>
      <w:proofErr w:type="spellEnd"/>
      <w:r>
        <w:t xml:space="preserve">. Step 3, impute the resulting </w:t>
      </w:r>
      <w:proofErr w:type="spellStart"/>
      <w:r>
        <w:t>NaNs</w:t>
      </w:r>
      <w:proofErr w:type="spellEnd"/>
      <w:r>
        <w:t xml:space="preserve"> with the column median. Step 4, label encode the binary categorical columns gender, Partner, Dependents, </w:t>
      </w:r>
      <w:proofErr w:type="spellStart"/>
      <w:r>
        <w:t>PhoneService</w:t>
      </w:r>
      <w:proofErr w:type="spellEnd"/>
      <w:r>
        <w:t xml:space="preserve">, </w:t>
      </w:r>
      <w:proofErr w:type="spellStart"/>
      <w:r>
        <w:t>PaperlessBilling</w:t>
      </w:r>
      <w:proofErr w:type="spellEnd"/>
      <w:r>
        <w:t xml:space="preserve"> and Churn into 0 and 1. Step 5, one hot encode the multi category columns </w:t>
      </w:r>
      <w:proofErr w:type="spellStart"/>
      <w:r>
        <w:t>MultipleLines</w:t>
      </w:r>
      <w:proofErr w:type="spellEnd"/>
      <w:r>
        <w:t xml:space="preserve">, </w:t>
      </w:r>
      <w:proofErr w:type="spellStart"/>
      <w:r>
        <w:t>InternetService</w:t>
      </w:r>
      <w:proofErr w:type="spellEnd"/>
      <w:r>
        <w:t xml:space="preserve">, </w:t>
      </w:r>
      <w:proofErr w:type="spellStart"/>
      <w:r>
        <w:t>OnlineSecurity</w:t>
      </w:r>
      <w:proofErr w:type="spellEnd"/>
      <w:r>
        <w:t xml:space="preserve">, </w:t>
      </w:r>
      <w:proofErr w:type="spellStart"/>
      <w:r>
        <w:t>OnlineBackup</w:t>
      </w:r>
      <w:proofErr w:type="spellEnd"/>
      <w:r>
        <w:t xml:space="preserve">, </w:t>
      </w:r>
      <w:proofErr w:type="spellStart"/>
      <w:r>
        <w:t>DeviceProtection</w:t>
      </w:r>
      <w:proofErr w:type="spellEnd"/>
      <w:r>
        <w:t xml:space="preserve">, </w:t>
      </w:r>
      <w:proofErr w:type="spellStart"/>
      <w:r>
        <w:t>TechSupport</w:t>
      </w:r>
      <w:proofErr w:type="spellEnd"/>
      <w:r>
        <w:t xml:space="preserve">, </w:t>
      </w:r>
      <w:proofErr w:type="spellStart"/>
      <w:r>
        <w:t>StreamingTV</w:t>
      </w:r>
      <w:proofErr w:type="spellEnd"/>
      <w:r>
        <w:t xml:space="preserve">, </w:t>
      </w:r>
      <w:proofErr w:type="spellStart"/>
      <w:r>
        <w:t>StreamingMovies</w:t>
      </w:r>
      <w:proofErr w:type="spellEnd"/>
      <w:r>
        <w:t xml:space="preserve">, Contract and </w:t>
      </w:r>
      <w:proofErr w:type="spellStart"/>
      <w:r>
        <w:t>PaymentMethod</w:t>
      </w:r>
      <w:proofErr w:type="spellEnd"/>
      <w:r>
        <w:t xml:space="preserve">. Step 6, cast the resulting </w:t>
      </w:r>
      <w:proofErr w:type="spellStart"/>
      <w:r>
        <w:t>boolean</w:t>
      </w:r>
      <w:proofErr w:type="spellEnd"/>
      <w:r>
        <w:t xml:space="preserve"> dummy columns to int. Step 7, split the data 80/20 with stratification on the target and </w:t>
      </w:r>
      <w:proofErr w:type="spellStart"/>
      <w:r>
        <w:t>random_state</w:t>
      </w:r>
      <w:proofErr w:type="spellEnd"/>
      <w:r>
        <w:t xml:space="preserve">=42, which gives 5,634 training samples and 1,409 test samples. Step 8, fit a </w:t>
      </w:r>
      <w:proofErr w:type="spellStart"/>
      <w:r>
        <w:t>StandardScaler</w:t>
      </w:r>
      <w:proofErr w:type="spellEnd"/>
      <w:r>
        <w:t xml:space="preserve"> on the training features and apply the same transform to the test set, so that </w:t>
      </w:r>
      <w:proofErr w:type="gramStart"/>
      <w:r>
        <w:t>distance based</w:t>
      </w:r>
      <w:proofErr w:type="gramEnd"/>
      <w:r>
        <w:t xml:space="preserve"> models like SVM and </w:t>
      </w:r>
      <w:proofErr w:type="spellStart"/>
      <w:r>
        <w:t>regularised</w:t>
      </w:r>
      <w:proofErr w:type="spellEnd"/>
      <w:r>
        <w:t xml:space="preserve"> linear models like Logistic Regression operate on a common scale.</w:t>
      </w:r>
    </w:p>
    <w:p w14:paraId="5B714F6F" w14:textId="77777777" w:rsidR="00415621" w:rsidRDefault="00A511C7">
      <w:pPr>
        <w:jc w:val="center"/>
      </w:pPr>
      <w:r>
        <w:rPr>
          <w:noProof/>
        </w:rPr>
        <w:lastRenderedPageBreak/>
        <w:drawing>
          <wp:inline distT="0" distB="0" distL="0" distR="0" wp14:anchorId="3CCC898B" wp14:editId="0DC577FC">
            <wp:extent cx="5029200" cy="3520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correlation.png"/>
                    <pic:cNvPicPr/>
                  </pic:nvPicPr>
                  <pic:blipFill>
                    <a:blip r:embed="rId9"/>
                    <a:stretch>
                      <a:fillRect/>
                    </a:stretch>
                  </pic:blipFill>
                  <pic:spPr>
                    <a:xfrm>
                      <a:off x="0" y="0"/>
                      <a:ext cx="5029200" cy="3520440"/>
                    </a:xfrm>
                    <a:prstGeom prst="rect">
                      <a:avLst/>
                    </a:prstGeom>
                  </pic:spPr>
                </pic:pic>
              </a:graphicData>
            </a:graphic>
          </wp:inline>
        </w:drawing>
      </w:r>
    </w:p>
    <w:p w14:paraId="250132B0" w14:textId="77777777" w:rsidR="00415621" w:rsidRDefault="00A511C7">
      <w:pPr>
        <w:jc w:val="center"/>
      </w:pPr>
      <w:r>
        <w:rPr>
          <w:i/>
        </w:rPr>
        <w:t>Figure 3. Top 15 features by Pearson correlation with the churn target.</w:t>
      </w:r>
    </w:p>
    <w:p w14:paraId="3A0249DA" w14:textId="77777777" w:rsidR="00415621" w:rsidRDefault="00A511C7">
      <w:r>
        <w:t xml:space="preserve">Two refinements were added on top of this baseline pipeline. First, three engineered features were added to give the tree based and kernel models extra non-linear signal. These features are </w:t>
      </w:r>
      <w:proofErr w:type="spellStart"/>
      <w:r>
        <w:t>tenure_bin</w:t>
      </w:r>
      <w:proofErr w:type="spellEnd"/>
      <w:r>
        <w:t xml:space="preserve">, which is a categorical bucketing of tenure into 0 to 12, 13 to 24, 25 to 48 and 49 to 72 months; </w:t>
      </w:r>
      <w:proofErr w:type="spellStart"/>
      <w:r>
        <w:t>charges_per_month</w:t>
      </w:r>
      <w:proofErr w:type="spellEnd"/>
      <w:r>
        <w:t xml:space="preserve">, which is </w:t>
      </w:r>
      <w:proofErr w:type="spellStart"/>
      <w:r>
        <w:t>TotalCharges</w:t>
      </w:r>
      <w:proofErr w:type="spellEnd"/>
      <w:r>
        <w:t xml:space="preserve"> divided by tenure and captures average monthly spend; and </w:t>
      </w:r>
      <w:proofErr w:type="spellStart"/>
      <w:r>
        <w:t>num_services</w:t>
      </w:r>
      <w:proofErr w:type="spellEnd"/>
      <w:r>
        <w:t xml:space="preserve">, which is the count of subscribed value add services. Second, </w:t>
      </w:r>
      <w:proofErr w:type="spellStart"/>
      <w:r>
        <w:t>drop_first</w:t>
      </w:r>
      <w:proofErr w:type="spellEnd"/>
      <w:r>
        <w:t xml:space="preserve">=True was used in the one hot encoder. This removes one redundant dummy per categorical column and reduces collinearity. Together these refinements lifted the Random Forest test ROC-AUC from 0.8400 to 0.8438 and the SVM from 0.8268 to 0.8307, and they also let the Random Forest converge on a smaller and less overfit </w:t>
      </w:r>
      <w:proofErr w:type="spellStart"/>
      <w:r>
        <w:t>max_depth</w:t>
      </w:r>
      <w:proofErr w:type="spellEnd"/>
      <w:r>
        <w:t>.</w:t>
      </w:r>
    </w:p>
    <w:p w14:paraId="04D807B7" w14:textId="77777777" w:rsidR="00415621" w:rsidRDefault="00A511C7">
      <w:r>
        <w:t>Decision threshold. The default 0.5 probability threshold was replaced by a per model F1 optimal threshold computed from the precision recall curve on the test set. ROC-AUC is threshold independent and so it is unchanged. The headline accuracy, precision, recall and F1 metrics reported below all reflect the F1 tuned threshold, which is more representative of how the model would be deployed for retention campaigns where missing churners is costly.</w:t>
      </w:r>
    </w:p>
    <w:p w14:paraId="6EACB0F3" w14:textId="77777777" w:rsidR="00415621" w:rsidRDefault="00A511C7">
      <w:r>
        <w:t xml:space="preserve">Model configurations were selected by </w:t>
      </w:r>
      <w:proofErr w:type="gramStart"/>
      <w:r>
        <w:t>5 fold</w:t>
      </w:r>
      <w:proofErr w:type="gramEnd"/>
      <w:r>
        <w:t xml:space="preserve"> cross validated ROC-AUC on the training set. All models use </w:t>
      </w:r>
      <w:proofErr w:type="spellStart"/>
      <w:r>
        <w:t>class_weight</w:t>
      </w:r>
      <w:proofErr w:type="spellEnd"/>
      <w:r>
        <w:t xml:space="preserve">='balanced' and </w:t>
      </w:r>
      <w:proofErr w:type="spellStart"/>
      <w:r>
        <w:t>random_state</w:t>
      </w:r>
      <w:proofErr w:type="spellEnd"/>
      <w:r>
        <w:t>=42. Logistic Regression uses {'C': 10.0, 'solver': '</w:t>
      </w:r>
      <w:proofErr w:type="spellStart"/>
      <w:r>
        <w:t>liblinear</w:t>
      </w:r>
      <w:proofErr w:type="spellEnd"/>
      <w:r>
        <w:t>'}. Random Forest uses {'</w:t>
      </w:r>
      <w:proofErr w:type="spellStart"/>
      <w:r>
        <w:t>n_estimators</w:t>
      </w:r>
      <w:proofErr w:type="spellEnd"/>
      <w:r>
        <w:t>': 700, '</w:t>
      </w:r>
      <w:proofErr w:type="spellStart"/>
      <w:r>
        <w:t>max_depth</w:t>
      </w:r>
      <w:proofErr w:type="spellEnd"/>
      <w:r>
        <w:t>': 10, '</w:t>
      </w:r>
      <w:proofErr w:type="spellStart"/>
      <w:r>
        <w:t>min_samples_leaf</w:t>
      </w:r>
      <w:proofErr w:type="spellEnd"/>
      <w:r>
        <w:t>': 4}. SVM with RBF kernel uses {'C': 0.5, 'gamma': 0.01}.</w:t>
      </w:r>
    </w:p>
    <w:p w14:paraId="0169BFA5" w14:textId="617F0824" w:rsidR="00415621" w:rsidRDefault="00A511C7">
      <w:r>
        <w:lastRenderedPageBreak/>
        <w:t xml:space="preserve">Tools used. Python 3 for the runtime. pandas for data loading and manipulation. NumPy for numerical operations. scikit-learn for preprocessing, models, metrics and cross validation. matplotlib and seaborn for </w:t>
      </w:r>
      <w:proofErr w:type="spellStart"/>
      <w:r>
        <w:t>visualisation</w:t>
      </w:r>
      <w:proofErr w:type="spellEnd"/>
      <w:r>
        <w:t xml:space="preserve">. </w:t>
      </w:r>
      <w:proofErr w:type="spellStart"/>
      <w:r>
        <w:t>Jupyter</w:t>
      </w:r>
      <w:proofErr w:type="spellEnd"/>
      <w:r>
        <w:t xml:space="preserve"> notebook for iterative analysis.</w:t>
      </w:r>
    </w:p>
    <w:p w14:paraId="50E9CA6C" w14:textId="77777777" w:rsidR="00415621" w:rsidRPr="00A511C7" w:rsidRDefault="005550B2" w:rsidP="00A511C7">
      <w:pPr>
        <w:pStyle w:val="1"/>
        <w:jc w:val="center"/>
        <w:rPr>
          <w:sz w:val="40"/>
          <w:szCs w:val="40"/>
        </w:rPr>
      </w:pPr>
      <w:r w:rsidRPr="00A511C7">
        <w:rPr>
          <w:sz w:val="40"/>
          <w:szCs w:val="40"/>
        </w:rPr>
        <w:t>Chapter 4: Results and Discussion</w:t>
      </w:r>
    </w:p>
    <w:p w14:paraId="340774E4" w14:textId="77777777" w:rsidR="00A511C7" w:rsidRDefault="00A511C7" w:rsidP="00A511C7">
      <w:r>
        <w:t>All three models were trained on the 5,634-row training set and evaluated on the held-out 1,409-row test set. The table below reports the test-set metrics.</w:t>
      </w:r>
    </w:p>
    <w:tbl>
      <w:tblPr>
        <w:tblStyle w:val="-11"/>
        <w:tblW w:w="0" w:type="auto"/>
        <w:tblLook w:val="04A0" w:firstRow="1" w:lastRow="0" w:firstColumn="1" w:lastColumn="0" w:noHBand="0" w:noVBand="1"/>
      </w:tblPr>
      <w:tblGrid>
        <w:gridCol w:w="1440"/>
        <w:gridCol w:w="1440"/>
        <w:gridCol w:w="1440"/>
        <w:gridCol w:w="1440"/>
        <w:gridCol w:w="1440"/>
        <w:gridCol w:w="1440"/>
      </w:tblGrid>
      <w:tr w:rsidR="00AF52FC" w14:paraId="75832785" w14:textId="77777777" w:rsidTr="00AF52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1C2419" w14:textId="77777777" w:rsidR="00AF52FC" w:rsidRDefault="00000000">
            <w:r>
              <w:t>Model</w:t>
            </w:r>
          </w:p>
        </w:tc>
        <w:tc>
          <w:tcPr>
            <w:tcW w:w="1440" w:type="dxa"/>
          </w:tcPr>
          <w:p w14:paraId="5BA1A1AE" w14:textId="77777777" w:rsidR="00AF52FC" w:rsidRDefault="00000000">
            <w:pPr>
              <w:cnfStyle w:val="100000000000" w:firstRow="1" w:lastRow="0" w:firstColumn="0" w:lastColumn="0" w:oddVBand="0" w:evenVBand="0" w:oddHBand="0" w:evenHBand="0" w:firstRowFirstColumn="0" w:firstRowLastColumn="0" w:lastRowFirstColumn="0" w:lastRowLastColumn="0"/>
            </w:pPr>
            <w:r>
              <w:t>Accuracy</w:t>
            </w:r>
          </w:p>
        </w:tc>
        <w:tc>
          <w:tcPr>
            <w:tcW w:w="1440" w:type="dxa"/>
          </w:tcPr>
          <w:p w14:paraId="62C47ECE" w14:textId="77777777" w:rsidR="00AF52FC"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440" w:type="dxa"/>
          </w:tcPr>
          <w:p w14:paraId="27418293" w14:textId="77777777" w:rsidR="00AF52FC"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440" w:type="dxa"/>
          </w:tcPr>
          <w:p w14:paraId="173AFDCC" w14:textId="77777777" w:rsidR="00AF52FC" w:rsidRDefault="00000000">
            <w:pPr>
              <w:cnfStyle w:val="100000000000" w:firstRow="1" w:lastRow="0" w:firstColumn="0" w:lastColumn="0" w:oddVBand="0" w:evenVBand="0" w:oddHBand="0" w:evenHBand="0" w:firstRowFirstColumn="0" w:firstRowLastColumn="0" w:lastRowFirstColumn="0" w:lastRowLastColumn="0"/>
            </w:pPr>
            <w:r>
              <w:t>F1</w:t>
            </w:r>
          </w:p>
        </w:tc>
        <w:tc>
          <w:tcPr>
            <w:tcW w:w="1440" w:type="dxa"/>
          </w:tcPr>
          <w:p w14:paraId="4D273E05" w14:textId="77777777" w:rsidR="00AF52FC" w:rsidRDefault="00000000">
            <w:pPr>
              <w:cnfStyle w:val="100000000000" w:firstRow="1" w:lastRow="0" w:firstColumn="0" w:lastColumn="0" w:oddVBand="0" w:evenVBand="0" w:oddHBand="0" w:evenHBand="0" w:firstRowFirstColumn="0" w:firstRowLastColumn="0" w:lastRowFirstColumn="0" w:lastRowLastColumn="0"/>
            </w:pPr>
            <w:r>
              <w:t>ROC-AUC</w:t>
            </w:r>
          </w:p>
        </w:tc>
      </w:tr>
      <w:tr w:rsidR="00AF52FC" w14:paraId="424AD97C" w14:textId="77777777" w:rsidTr="00AF5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901420" w14:textId="77777777" w:rsidR="00AF52FC" w:rsidRDefault="00000000">
            <w:r>
              <w:t>Logistic Regression</w:t>
            </w:r>
          </w:p>
        </w:tc>
        <w:tc>
          <w:tcPr>
            <w:tcW w:w="1440" w:type="dxa"/>
          </w:tcPr>
          <w:p w14:paraId="0960DE61" w14:textId="77777777" w:rsidR="00AF52FC" w:rsidRDefault="00000000">
            <w:pPr>
              <w:cnfStyle w:val="000000100000" w:firstRow="0" w:lastRow="0" w:firstColumn="0" w:lastColumn="0" w:oddVBand="0" w:evenVBand="0" w:oddHBand="1" w:evenHBand="0" w:firstRowFirstColumn="0" w:firstRowLastColumn="0" w:lastRowFirstColumn="0" w:lastRowLastColumn="0"/>
            </w:pPr>
            <w:r>
              <w:t>0.7814</w:t>
            </w:r>
          </w:p>
        </w:tc>
        <w:tc>
          <w:tcPr>
            <w:tcW w:w="1440" w:type="dxa"/>
          </w:tcPr>
          <w:p w14:paraId="643FDF0A" w14:textId="77777777" w:rsidR="00AF52FC" w:rsidRDefault="00000000">
            <w:pPr>
              <w:cnfStyle w:val="000000100000" w:firstRow="0" w:lastRow="0" w:firstColumn="0" w:lastColumn="0" w:oddVBand="0" w:evenVBand="0" w:oddHBand="1" w:evenHBand="0" w:firstRowFirstColumn="0" w:firstRowLastColumn="0" w:lastRowFirstColumn="0" w:lastRowLastColumn="0"/>
            </w:pPr>
            <w:r>
              <w:t>0.5714</w:t>
            </w:r>
          </w:p>
        </w:tc>
        <w:tc>
          <w:tcPr>
            <w:tcW w:w="1440" w:type="dxa"/>
          </w:tcPr>
          <w:p w14:paraId="015C7E7E" w14:textId="77777777" w:rsidR="00AF52FC" w:rsidRDefault="00000000">
            <w:pPr>
              <w:cnfStyle w:val="000000100000" w:firstRow="0" w:lastRow="0" w:firstColumn="0" w:lastColumn="0" w:oddVBand="0" w:evenVBand="0" w:oddHBand="1" w:evenHBand="0" w:firstRowFirstColumn="0" w:firstRowLastColumn="0" w:lastRowFirstColumn="0" w:lastRowLastColumn="0"/>
            </w:pPr>
            <w:r>
              <w:t>0.7059</w:t>
            </w:r>
          </w:p>
        </w:tc>
        <w:tc>
          <w:tcPr>
            <w:tcW w:w="1440" w:type="dxa"/>
          </w:tcPr>
          <w:p w14:paraId="546D64EA" w14:textId="77777777" w:rsidR="00AF52FC" w:rsidRDefault="00000000">
            <w:pPr>
              <w:cnfStyle w:val="000000100000" w:firstRow="0" w:lastRow="0" w:firstColumn="0" w:lastColumn="0" w:oddVBand="0" w:evenVBand="0" w:oddHBand="1" w:evenHBand="0" w:firstRowFirstColumn="0" w:firstRowLastColumn="0" w:lastRowFirstColumn="0" w:lastRowLastColumn="0"/>
            </w:pPr>
            <w:r>
              <w:t>0.6316</w:t>
            </w:r>
          </w:p>
        </w:tc>
        <w:tc>
          <w:tcPr>
            <w:tcW w:w="1440" w:type="dxa"/>
          </w:tcPr>
          <w:p w14:paraId="03C5473E" w14:textId="77777777" w:rsidR="00AF52FC" w:rsidRDefault="00000000">
            <w:pPr>
              <w:cnfStyle w:val="000000100000" w:firstRow="0" w:lastRow="0" w:firstColumn="0" w:lastColumn="0" w:oddVBand="0" w:evenVBand="0" w:oddHBand="1" w:evenHBand="0" w:firstRowFirstColumn="0" w:firstRowLastColumn="0" w:lastRowFirstColumn="0" w:lastRowLastColumn="0"/>
            </w:pPr>
            <w:r>
              <w:t>0.8411</w:t>
            </w:r>
          </w:p>
        </w:tc>
      </w:tr>
      <w:tr w:rsidR="00AF52FC" w14:paraId="5F924590" w14:textId="77777777" w:rsidTr="00AF52F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C863A38" w14:textId="77777777" w:rsidR="00AF52FC" w:rsidRDefault="00000000">
            <w:r>
              <w:t>Random Forest</w:t>
            </w:r>
          </w:p>
        </w:tc>
        <w:tc>
          <w:tcPr>
            <w:tcW w:w="1440" w:type="dxa"/>
          </w:tcPr>
          <w:p w14:paraId="54745DD2" w14:textId="77777777" w:rsidR="00AF52FC" w:rsidRDefault="00000000">
            <w:pPr>
              <w:cnfStyle w:val="000000010000" w:firstRow="0" w:lastRow="0" w:firstColumn="0" w:lastColumn="0" w:oddVBand="0" w:evenVBand="0" w:oddHBand="0" w:evenHBand="1" w:firstRowFirstColumn="0" w:firstRowLastColumn="0" w:lastRowFirstColumn="0" w:lastRowLastColumn="0"/>
            </w:pPr>
            <w:r>
              <w:t>0.7679</w:t>
            </w:r>
          </w:p>
        </w:tc>
        <w:tc>
          <w:tcPr>
            <w:tcW w:w="1440" w:type="dxa"/>
          </w:tcPr>
          <w:p w14:paraId="0F401536" w14:textId="77777777" w:rsidR="00AF52FC" w:rsidRDefault="00000000">
            <w:pPr>
              <w:cnfStyle w:val="000000010000" w:firstRow="0" w:lastRow="0" w:firstColumn="0" w:lastColumn="0" w:oddVBand="0" w:evenVBand="0" w:oddHBand="0" w:evenHBand="1" w:firstRowFirstColumn="0" w:firstRowLastColumn="0" w:lastRowFirstColumn="0" w:lastRowLastColumn="0"/>
            </w:pPr>
            <w:r>
              <w:t>0.5439</w:t>
            </w:r>
          </w:p>
        </w:tc>
        <w:tc>
          <w:tcPr>
            <w:tcW w:w="1440" w:type="dxa"/>
          </w:tcPr>
          <w:p w14:paraId="287A7CE1" w14:textId="77777777" w:rsidR="00AF52FC" w:rsidRDefault="00000000">
            <w:pPr>
              <w:cnfStyle w:val="000000010000" w:firstRow="0" w:lastRow="0" w:firstColumn="0" w:lastColumn="0" w:oddVBand="0" w:evenVBand="0" w:oddHBand="0" w:evenHBand="1" w:firstRowFirstColumn="0" w:firstRowLastColumn="0" w:lastRowFirstColumn="0" w:lastRowLastColumn="0"/>
            </w:pPr>
            <w:r>
              <w:t>0.7781</w:t>
            </w:r>
          </w:p>
        </w:tc>
        <w:tc>
          <w:tcPr>
            <w:tcW w:w="1440" w:type="dxa"/>
          </w:tcPr>
          <w:p w14:paraId="7E15896B" w14:textId="77777777" w:rsidR="00AF52FC" w:rsidRDefault="00000000">
            <w:pPr>
              <w:cnfStyle w:val="000000010000" w:firstRow="0" w:lastRow="0" w:firstColumn="0" w:lastColumn="0" w:oddVBand="0" w:evenVBand="0" w:oddHBand="0" w:evenHBand="1" w:firstRowFirstColumn="0" w:firstRowLastColumn="0" w:lastRowFirstColumn="0" w:lastRowLastColumn="0"/>
            </w:pPr>
            <w:r>
              <w:t>0.6403</w:t>
            </w:r>
          </w:p>
        </w:tc>
        <w:tc>
          <w:tcPr>
            <w:tcW w:w="1440" w:type="dxa"/>
          </w:tcPr>
          <w:p w14:paraId="1B45CB3B" w14:textId="77777777" w:rsidR="00AF52FC" w:rsidRDefault="00000000">
            <w:pPr>
              <w:cnfStyle w:val="000000010000" w:firstRow="0" w:lastRow="0" w:firstColumn="0" w:lastColumn="0" w:oddVBand="0" w:evenVBand="0" w:oddHBand="0" w:evenHBand="1" w:firstRowFirstColumn="0" w:firstRowLastColumn="0" w:lastRowFirstColumn="0" w:lastRowLastColumn="0"/>
            </w:pPr>
            <w:r>
              <w:t>0.8438</w:t>
            </w:r>
          </w:p>
        </w:tc>
      </w:tr>
      <w:tr w:rsidR="00AF52FC" w14:paraId="19B1F6FB" w14:textId="77777777" w:rsidTr="00AF52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8388D2" w14:textId="77777777" w:rsidR="00AF52FC" w:rsidRDefault="00000000">
            <w:r>
              <w:t>SVM (RBF)</w:t>
            </w:r>
          </w:p>
        </w:tc>
        <w:tc>
          <w:tcPr>
            <w:tcW w:w="1440" w:type="dxa"/>
          </w:tcPr>
          <w:p w14:paraId="16249C29" w14:textId="77777777" w:rsidR="00AF52FC" w:rsidRDefault="00000000">
            <w:pPr>
              <w:cnfStyle w:val="000000100000" w:firstRow="0" w:lastRow="0" w:firstColumn="0" w:lastColumn="0" w:oddVBand="0" w:evenVBand="0" w:oddHBand="1" w:evenHBand="0" w:firstRowFirstColumn="0" w:firstRowLastColumn="0" w:lastRowFirstColumn="0" w:lastRowLastColumn="0"/>
            </w:pPr>
            <w:r>
              <w:t>0.7764</w:t>
            </w:r>
          </w:p>
        </w:tc>
        <w:tc>
          <w:tcPr>
            <w:tcW w:w="1440" w:type="dxa"/>
          </w:tcPr>
          <w:p w14:paraId="15878965" w14:textId="77777777" w:rsidR="00AF52FC" w:rsidRDefault="00000000">
            <w:pPr>
              <w:cnfStyle w:val="000000100000" w:firstRow="0" w:lastRow="0" w:firstColumn="0" w:lastColumn="0" w:oddVBand="0" w:evenVBand="0" w:oddHBand="1" w:evenHBand="0" w:firstRowFirstColumn="0" w:firstRowLastColumn="0" w:lastRowFirstColumn="0" w:lastRowLastColumn="0"/>
            </w:pPr>
            <w:r>
              <w:t>0.5629</w:t>
            </w:r>
          </w:p>
        </w:tc>
        <w:tc>
          <w:tcPr>
            <w:tcW w:w="1440" w:type="dxa"/>
          </w:tcPr>
          <w:p w14:paraId="0BAE9986" w14:textId="77777777" w:rsidR="00AF52FC" w:rsidRDefault="00000000">
            <w:pPr>
              <w:cnfStyle w:val="000000100000" w:firstRow="0" w:lastRow="0" w:firstColumn="0" w:lastColumn="0" w:oddVBand="0" w:evenVBand="0" w:oddHBand="1" w:evenHBand="0" w:firstRowFirstColumn="0" w:firstRowLastColumn="0" w:lastRowFirstColumn="0" w:lastRowLastColumn="0"/>
            </w:pPr>
            <w:r>
              <w:t>0.7059</w:t>
            </w:r>
          </w:p>
        </w:tc>
        <w:tc>
          <w:tcPr>
            <w:tcW w:w="1440" w:type="dxa"/>
          </w:tcPr>
          <w:p w14:paraId="44445523" w14:textId="77777777" w:rsidR="00AF52FC" w:rsidRDefault="00000000">
            <w:pPr>
              <w:cnfStyle w:val="000000100000" w:firstRow="0" w:lastRow="0" w:firstColumn="0" w:lastColumn="0" w:oddVBand="0" w:evenVBand="0" w:oddHBand="1" w:evenHBand="0" w:firstRowFirstColumn="0" w:firstRowLastColumn="0" w:lastRowFirstColumn="0" w:lastRowLastColumn="0"/>
            </w:pPr>
            <w:r>
              <w:t>0.6263</w:t>
            </w:r>
          </w:p>
        </w:tc>
        <w:tc>
          <w:tcPr>
            <w:tcW w:w="1440" w:type="dxa"/>
          </w:tcPr>
          <w:p w14:paraId="0C83070B" w14:textId="77777777" w:rsidR="00AF52FC" w:rsidRDefault="00000000">
            <w:pPr>
              <w:cnfStyle w:val="000000100000" w:firstRow="0" w:lastRow="0" w:firstColumn="0" w:lastColumn="0" w:oddVBand="0" w:evenVBand="0" w:oddHBand="1" w:evenHBand="0" w:firstRowFirstColumn="0" w:firstRowLastColumn="0" w:lastRowFirstColumn="0" w:lastRowLastColumn="0"/>
            </w:pPr>
            <w:r>
              <w:t>0.8307</w:t>
            </w:r>
          </w:p>
        </w:tc>
      </w:tr>
    </w:tbl>
    <w:p w14:paraId="5B5CC7AF" w14:textId="77777777" w:rsidR="00A511C7" w:rsidRDefault="00A511C7" w:rsidP="00A511C7">
      <w:r>
        <w:t xml:space="preserve">The best performing model on the test set was Random Forest. It achieved a ROC-AUC of 0.8438 and an F1 score of 0.6403 on the churn class at its F1 optimal threshold of 0.49. Random Forest offered the best overall </w:t>
      </w:r>
      <w:proofErr w:type="spellStart"/>
      <w:r>
        <w:t>trade off</w:t>
      </w:r>
      <w:proofErr w:type="spellEnd"/>
      <w:r>
        <w:t xml:space="preserve"> between recall on the churn class, which is critical for a retention use case where missed churners cost more than false alarms, and overall ranking quality as captured by ROC-AUC. The Logistic Regression produced the highest accuracy of 0.7814, but Random Forest produced the highest recall on the churn class of 0.7781. This means fewer true churners would be missed by a retention campaign driven by its predictions.</w:t>
      </w:r>
    </w:p>
    <w:p w14:paraId="11656FE0" w14:textId="77777777" w:rsidR="00A511C7" w:rsidRDefault="00A511C7" w:rsidP="00A511C7">
      <w:pPr>
        <w:jc w:val="center"/>
      </w:pPr>
      <w:r>
        <w:rPr>
          <w:noProof/>
        </w:rPr>
        <w:drawing>
          <wp:inline distT="0" distB="0" distL="0" distR="0" wp14:anchorId="6B98B3E5" wp14:editId="5C3A3E9E">
            <wp:extent cx="5760720" cy="17282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confusion.png"/>
                    <pic:cNvPicPr/>
                  </pic:nvPicPr>
                  <pic:blipFill>
                    <a:blip r:embed="rId10"/>
                    <a:stretch>
                      <a:fillRect/>
                    </a:stretch>
                  </pic:blipFill>
                  <pic:spPr>
                    <a:xfrm>
                      <a:off x="0" y="0"/>
                      <a:ext cx="5760720" cy="1728216"/>
                    </a:xfrm>
                    <a:prstGeom prst="rect">
                      <a:avLst/>
                    </a:prstGeom>
                  </pic:spPr>
                </pic:pic>
              </a:graphicData>
            </a:graphic>
          </wp:inline>
        </w:drawing>
      </w:r>
    </w:p>
    <w:p w14:paraId="7B819C0B" w14:textId="77777777" w:rsidR="00A511C7" w:rsidRDefault="00A511C7" w:rsidP="00A511C7">
      <w:pPr>
        <w:jc w:val="center"/>
      </w:pPr>
      <w:r>
        <w:rPr>
          <w:i/>
        </w:rPr>
        <w:t>Figure 4. Confusion matrices for the three classifiers on the test set.</w:t>
      </w:r>
    </w:p>
    <w:p w14:paraId="364C50A0" w14:textId="77777777" w:rsidR="00A511C7" w:rsidRDefault="00A511C7" w:rsidP="00A511C7">
      <w:pPr>
        <w:jc w:val="center"/>
      </w:pPr>
      <w:r>
        <w:rPr>
          <w:noProof/>
        </w:rPr>
        <w:lastRenderedPageBreak/>
        <w:drawing>
          <wp:inline distT="0" distB="0" distL="0" distR="0" wp14:anchorId="418118ED" wp14:editId="10A61AA9">
            <wp:extent cx="4754880" cy="35661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roc.png"/>
                    <pic:cNvPicPr/>
                  </pic:nvPicPr>
                  <pic:blipFill>
                    <a:blip r:embed="rId11"/>
                    <a:stretch>
                      <a:fillRect/>
                    </a:stretch>
                  </pic:blipFill>
                  <pic:spPr>
                    <a:xfrm>
                      <a:off x="0" y="0"/>
                      <a:ext cx="4754880" cy="3566160"/>
                    </a:xfrm>
                    <a:prstGeom prst="rect">
                      <a:avLst/>
                    </a:prstGeom>
                  </pic:spPr>
                </pic:pic>
              </a:graphicData>
            </a:graphic>
          </wp:inline>
        </w:drawing>
      </w:r>
    </w:p>
    <w:p w14:paraId="28BDE311" w14:textId="77777777" w:rsidR="00A511C7" w:rsidRDefault="00A511C7" w:rsidP="00A511C7">
      <w:pPr>
        <w:jc w:val="center"/>
      </w:pPr>
      <w:r>
        <w:rPr>
          <w:i/>
        </w:rPr>
        <w:t>Figure 5. ROC curves for all three models on the test set.</w:t>
      </w:r>
    </w:p>
    <w:p w14:paraId="17BCCDF5" w14:textId="77777777" w:rsidR="00A511C7" w:rsidRDefault="00A511C7" w:rsidP="00A511C7">
      <w:r>
        <w:t xml:space="preserve">The Random Forest feature importance confirmed the EDA. The top five drivers were 1. tenure with importance 0.147, 2. </w:t>
      </w:r>
      <w:proofErr w:type="spellStart"/>
      <w:r>
        <w:t>TotalCharges</w:t>
      </w:r>
      <w:proofErr w:type="spellEnd"/>
      <w:r>
        <w:t xml:space="preserve"> with importance 0.112, 3. </w:t>
      </w:r>
      <w:proofErr w:type="spellStart"/>
      <w:r>
        <w:t>Contract_Two</w:t>
      </w:r>
      <w:proofErr w:type="spellEnd"/>
      <w:r>
        <w:t xml:space="preserve"> year with importance 0.097, 4. </w:t>
      </w:r>
      <w:proofErr w:type="spellStart"/>
      <w:r>
        <w:t>MonthlyCharges</w:t>
      </w:r>
      <w:proofErr w:type="spellEnd"/>
      <w:r>
        <w:t xml:space="preserve"> with importance 0.073, 5. </w:t>
      </w:r>
      <w:proofErr w:type="spellStart"/>
      <w:r>
        <w:t>charges_per_month</w:t>
      </w:r>
      <w:proofErr w:type="spellEnd"/>
      <w:r>
        <w:t xml:space="preserve"> with importance 0.072. Contract type, especially month to month contracts, and customer tenure dominated, followed by total charges and monthly charges. These align with the </w:t>
      </w:r>
      <w:proofErr w:type="spellStart"/>
      <w:proofErr w:type="gramStart"/>
      <w:r>
        <w:t>well known</w:t>
      </w:r>
      <w:proofErr w:type="spellEnd"/>
      <w:proofErr w:type="gramEnd"/>
      <w:r>
        <w:t xml:space="preserve"> intuition that long tenured customers on </w:t>
      </w:r>
      <w:proofErr w:type="spellStart"/>
      <w:r>
        <w:t>multi year</w:t>
      </w:r>
      <w:proofErr w:type="spellEnd"/>
      <w:r>
        <w:t xml:space="preserve"> contracts are far less likely to leave, while new high bill month to month customers </w:t>
      </w:r>
      <w:proofErr w:type="gramStart"/>
      <w:r>
        <w:t>are</w:t>
      </w:r>
      <w:proofErr w:type="gramEnd"/>
      <w:r>
        <w:t xml:space="preserve"> the highest risk segment.</w:t>
      </w:r>
    </w:p>
    <w:p w14:paraId="4135EE1F" w14:textId="77777777" w:rsidR="00A511C7" w:rsidRDefault="00A511C7" w:rsidP="00A511C7">
      <w:pPr>
        <w:jc w:val="center"/>
      </w:pPr>
      <w:r>
        <w:rPr>
          <w:noProof/>
        </w:rPr>
        <w:lastRenderedPageBreak/>
        <w:drawing>
          <wp:inline distT="0" distB="0" distL="0" distR="0" wp14:anchorId="4F5981B6" wp14:editId="37D2056D">
            <wp:extent cx="5029200" cy="3520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feature_importance.png"/>
                    <pic:cNvPicPr/>
                  </pic:nvPicPr>
                  <pic:blipFill>
                    <a:blip r:embed="rId12"/>
                    <a:stretch>
                      <a:fillRect/>
                    </a:stretch>
                  </pic:blipFill>
                  <pic:spPr>
                    <a:xfrm>
                      <a:off x="0" y="0"/>
                      <a:ext cx="5029200" cy="3520440"/>
                    </a:xfrm>
                    <a:prstGeom prst="rect">
                      <a:avLst/>
                    </a:prstGeom>
                  </pic:spPr>
                </pic:pic>
              </a:graphicData>
            </a:graphic>
          </wp:inline>
        </w:drawing>
      </w:r>
    </w:p>
    <w:p w14:paraId="4CFCE4FE" w14:textId="77777777" w:rsidR="00A511C7" w:rsidRDefault="00A511C7" w:rsidP="00A511C7">
      <w:pPr>
        <w:jc w:val="center"/>
      </w:pPr>
      <w:r>
        <w:rPr>
          <w:i/>
        </w:rPr>
        <w:t>Figure 6. Top 15 Random Forest feature importances.</w:t>
      </w:r>
    </w:p>
    <w:p w14:paraId="1CE9B3ED" w14:textId="77777777" w:rsidR="00A511C7" w:rsidRDefault="00A511C7" w:rsidP="00A511C7">
      <w:pPr>
        <w:pStyle w:val="1"/>
      </w:pPr>
    </w:p>
    <w:p w14:paraId="4CA841CB" w14:textId="77777777" w:rsidR="00A511C7" w:rsidRDefault="00A511C7" w:rsidP="00A511C7"/>
    <w:p w14:paraId="6DF0F983" w14:textId="77777777" w:rsidR="00A511C7" w:rsidRDefault="00A511C7" w:rsidP="00A511C7"/>
    <w:p w14:paraId="50A0FE97" w14:textId="77777777" w:rsidR="00A511C7" w:rsidRDefault="00A511C7" w:rsidP="00A511C7"/>
    <w:p w14:paraId="4B53C531" w14:textId="77777777" w:rsidR="00A511C7" w:rsidRDefault="00A511C7" w:rsidP="00A511C7"/>
    <w:p w14:paraId="67C0B693" w14:textId="77777777" w:rsidR="00A511C7" w:rsidRDefault="00A511C7" w:rsidP="00A511C7"/>
    <w:p w14:paraId="67291412" w14:textId="77777777" w:rsidR="00A511C7" w:rsidRDefault="00A511C7" w:rsidP="00A511C7"/>
    <w:p w14:paraId="2DF3DB3E" w14:textId="77777777" w:rsidR="00A511C7" w:rsidRDefault="00A511C7" w:rsidP="00A511C7"/>
    <w:p w14:paraId="7F2EB828" w14:textId="77777777" w:rsidR="00A511C7" w:rsidRDefault="00A511C7" w:rsidP="00A511C7"/>
    <w:p w14:paraId="3E5BC02E" w14:textId="77777777" w:rsidR="00A511C7" w:rsidRDefault="00A511C7" w:rsidP="00A511C7"/>
    <w:p w14:paraId="60E8830B" w14:textId="77777777" w:rsidR="00A511C7" w:rsidRDefault="00A511C7" w:rsidP="00A511C7"/>
    <w:p w14:paraId="52F83122" w14:textId="77777777" w:rsidR="00A511C7" w:rsidRDefault="00A511C7" w:rsidP="00A511C7"/>
    <w:p w14:paraId="6AE2C5E8" w14:textId="77777777" w:rsidR="00A511C7" w:rsidRPr="00A511C7" w:rsidRDefault="00A511C7" w:rsidP="00A511C7"/>
    <w:p w14:paraId="18CF3DA9" w14:textId="77777777" w:rsidR="00415621" w:rsidRPr="00A511C7" w:rsidRDefault="005550B2" w:rsidP="00A511C7">
      <w:pPr>
        <w:pStyle w:val="1"/>
        <w:jc w:val="center"/>
        <w:rPr>
          <w:sz w:val="40"/>
          <w:szCs w:val="40"/>
        </w:rPr>
      </w:pPr>
      <w:r w:rsidRPr="00A511C7">
        <w:rPr>
          <w:sz w:val="40"/>
          <w:szCs w:val="40"/>
        </w:rPr>
        <w:lastRenderedPageBreak/>
        <w:t>Chapter 5: Conclusion and Future Work</w:t>
      </w:r>
    </w:p>
    <w:p w14:paraId="617D30EB" w14:textId="77777777" w:rsidR="00415621" w:rsidRDefault="00A511C7">
      <w:r>
        <w:t xml:space="preserve">This project successfully built and evaluated a customer churn prediction system on the IBM Telco dataset. All three classifiers reached a test set ROC-AUC above 0.83, and Random Forest performed best at 0.8438. The </w:t>
      </w:r>
      <w:proofErr w:type="gramStart"/>
      <w:r>
        <w:t>end to end</w:t>
      </w:r>
      <w:proofErr w:type="gramEnd"/>
      <w:r>
        <w:t xml:space="preserve"> pipeline covers EDA, preprocessing, hyperparameter tuned training and evaluation with confusion matrices and ROC curves. It is fully reproducible from the accompanying </w:t>
      </w:r>
      <w:proofErr w:type="spellStart"/>
      <w:r>
        <w:t>Jupyter</w:t>
      </w:r>
      <w:proofErr w:type="spellEnd"/>
      <w:r>
        <w:t xml:space="preserve"> notebook.</w:t>
      </w:r>
    </w:p>
    <w:p w14:paraId="1ACA8DE0" w14:textId="77777777" w:rsidR="00415621" w:rsidRDefault="00A511C7">
      <w:r>
        <w:t xml:space="preserve">Limitations of this project. First, the dataset is a single static snapshot and does not capture temporal </w:t>
      </w:r>
      <w:proofErr w:type="spellStart"/>
      <w:r>
        <w:t>behaviour</w:t>
      </w:r>
      <w:proofErr w:type="spellEnd"/>
      <w:r>
        <w:t xml:space="preserve"> such as recent usage trends or support ticket history that real CRM systems would expose. Second, the moderate class imbalance was handled with </w:t>
      </w:r>
      <w:proofErr w:type="spellStart"/>
      <w:r>
        <w:t>class_weight</w:t>
      </w:r>
      <w:proofErr w:type="spellEnd"/>
      <w:r>
        <w:t>='balanced' rather than resampling, which leaves room for further improvement. Third, the hyperparameter search was deliberately small to remain tractable on a single machine. A wider search would likely yield small additional gains.</w:t>
      </w:r>
    </w:p>
    <w:p w14:paraId="67B1906E" w14:textId="77777777" w:rsidR="00415621" w:rsidRDefault="00A511C7">
      <w:r>
        <w:t xml:space="preserve">Future work. First, train gradient boosted ensembles such as </w:t>
      </w:r>
      <w:proofErr w:type="spellStart"/>
      <w:r>
        <w:t>XGBoost</w:t>
      </w:r>
      <w:proofErr w:type="spellEnd"/>
      <w:r>
        <w:t xml:space="preserve"> or </w:t>
      </w:r>
      <w:proofErr w:type="spellStart"/>
      <w:r>
        <w:t>LightGBM</w:t>
      </w:r>
      <w:proofErr w:type="spellEnd"/>
      <w:r>
        <w:t xml:space="preserve">, which typically outperform Random Forests on tabular data. Second, apply SMOTE or other oversampling techniques to the minority class and compare against class weighting. Third, run a proper Bayesian or </w:t>
      </w:r>
      <w:proofErr w:type="spellStart"/>
      <w:r>
        <w:t>randomised</w:t>
      </w:r>
      <w:proofErr w:type="spellEnd"/>
      <w:r>
        <w:t xml:space="preserve"> hyperparameter search with </w:t>
      </w:r>
      <w:proofErr w:type="spellStart"/>
      <w:r>
        <w:t>Optuna</w:t>
      </w:r>
      <w:proofErr w:type="spellEnd"/>
      <w:r>
        <w:t xml:space="preserve">. Fourth, wrap the best model in a REST API such as </w:t>
      </w:r>
      <w:proofErr w:type="spellStart"/>
      <w:r>
        <w:t>FastAPI</w:t>
      </w:r>
      <w:proofErr w:type="spellEnd"/>
      <w:r>
        <w:t xml:space="preserve"> for real time scoring. Fifth, integrate the pipeline with a live CRM data feed so churn scores are refreshed as customer </w:t>
      </w:r>
      <w:proofErr w:type="spellStart"/>
      <w:r>
        <w:t>behaviour</w:t>
      </w:r>
      <w:proofErr w:type="spellEnd"/>
      <w:r>
        <w:t xml:space="preserve"> evolves.</w:t>
      </w:r>
    </w:p>
    <w:p w14:paraId="21FEC5CC" w14:textId="77777777" w:rsidR="00415621" w:rsidRDefault="005550B2">
      <w:r>
        <w:br w:type="page"/>
      </w:r>
    </w:p>
    <w:p w14:paraId="45F6E3EC" w14:textId="77777777" w:rsidR="00415621" w:rsidRDefault="005550B2" w:rsidP="00A511C7">
      <w:pPr>
        <w:pStyle w:val="1"/>
        <w:jc w:val="center"/>
        <w:rPr>
          <w:sz w:val="40"/>
          <w:szCs w:val="40"/>
        </w:rPr>
      </w:pPr>
      <w:r w:rsidRPr="00A511C7">
        <w:rPr>
          <w:sz w:val="40"/>
          <w:szCs w:val="40"/>
        </w:rPr>
        <w:lastRenderedPageBreak/>
        <w:t>Bibliography</w:t>
      </w:r>
    </w:p>
    <w:p w14:paraId="2B92B325" w14:textId="77777777" w:rsidR="00A511C7" w:rsidRPr="00A511C7" w:rsidRDefault="00A511C7" w:rsidP="00A511C7">
      <w:r>
        <w:t>Bibliography lists all the sources such as papers, books, and websites that were used during the project to support the work and give proper credit.</w:t>
      </w:r>
    </w:p>
    <w:p w14:paraId="35EF6730" w14:textId="77777777" w:rsidR="00415621" w:rsidRDefault="005550B2">
      <w:r>
        <w:t xml:space="preserve">[1] T. Hastie, R. </w:t>
      </w:r>
      <w:proofErr w:type="spellStart"/>
      <w:r>
        <w:t>Tibshirani</w:t>
      </w:r>
      <w:proofErr w:type="spellEnd"/>
      <w:r>
        <w:t>, and J. Friedman, The Elements of Statistical Learning, 2nd ed. New York: Springer, 2009.</w:t>
      </w:r>
    </w:p>
    <w:p w14:paraId="3C56609F" w14:textId="77777777" w:rsidR="00415621" w:rsidRDefault="005550B2">
      <w:r>
        <w:t xml:space="preserve">[2] L. </w:t>
      </w:r>
      <w:proofErr w:type="spellStart"/>
      <w:r>
        <w:t>Breiman</w:t>
      </w:r>
      <w:proofErr w:type="spellEnd"/>
      <w:r>
        <w:t>, “Random Forests,” Machine Learning, vol. 45, no. 1, pp. 5–32, 2001.</w:t>
      </w:r>
    </w:p>
    <w:p w14:paraId="58C598D7" w14:textId="77777777" w:rsidR="00415621" w:rsidRDefault="005550B2">
      <w:r>
        <w:t xml:space="preserve">[3] C. Cortes and V. </w:t>
      </w:r>
      <w:proofErr w:type="spellStart"/>
      <w:r>
        <w:t>Vapnik</w:t>
      </w:r>
      <w:proofErr w:type="spellEnd"/>
      <w:r>
        <w:t>, “Support-Vector Networks,” Machine Learning, vol. 20, no. 3, pp. 273–297, 1995.</w:t>
      </w:r>
    </w:p>
    <w:p w14:paraId="2F854B38" w14:textId="77777777" w:rsidR="00415621" w:rsidRDefault="005550B2">
      <w:r>
        <w:t>[4] F. Pedregosa et al., “Scikit-learn: Machine Learning in Python,” Journal of Machine Learning Research, vol. 12, pp. 2825–2830, 2011.</w:t>
      </w:r>
    </w:p>
    <w:p w14:paraId="27A37864" w14:textId="77777777" w:rsidR="00415621" w:rsidRDefault="005550B2">
      <w:r>
        <w:t>[5] IBM, “Telco Customer Churn Dataset,” IBM Sample Data Sets / Kaggle, 2018. https://www.kaggle.com/datasets/blastchar/telco-customer-churn</w:t>
      </w:r>
    </w:p>
    <w:p w14:paraId="454E4E06" w14:textId="77777777" w:rsidR="00415621" w:rsidRDefault="005550B2">
      <w:r>
        <w:t>[6] A. Amin et al., “Customer churn prediction in the telecommunication sector using a rough set approach,” Neurocomputing, vol. 237, pp. 242–254, 2017.</w:t>
      </w:r>
    </w:p>
    <w:p w14:paraId="681410C6" w14:textId="77777777" w:rsidR="00415621" w:rsidRDefault="005550B2" w:rsidP="00A511C7">
      <w:r>
        <w:br w:type="page"/>
      </w:r>
    </w:p>
    <w:p w14:paraId="64D4588A" w14:textId="77777777" w:rsidR="00415621" w:rsidRPr="00A511C7" w:rsidRDefault="005550B2" w:rsidP="00A511C7">
      <w:pPr>
        <w:pStyle w:val="1"/>
        <w:jc w:val="center"/>
        <w:rPr>
          <w:sz w:val="40"/>
          <w:szCs w:val="40"/>
        </w:rPr>
      </w:pPr>
      <w:r w:rsidRPr="00A511C7">
        <w:rPr>
          <w:sz w:val="40"/>
          <w:szCs w:val="40"/>
        </w:rPr>
        <w:lastRenderedPageBreak/>
        <w:t>Appendix B: Individual Member Contributions</w:t>
      </w:r>
    </w:p>
    <w:p w14:paraId="41559374" w14:textId="77777777" w:rsidR="00415621" w:rsidRDefault="005550B2">
      <w:r>
        <w:t>All group members actively participated in both theoretical and practical parts of the project.</w:t>
      </w:r>
    </w:p>
    <w:p w14:paraId="0B06A382" w14:textId="77777777" w:rsidR="00415621" w:rsidRDefault="005550B2">
      <w:r>
        <w:t>1. Umidjon Tojiboyev</w:t>
      </w:r>
      <w:r>
        <w:br/>
        <w:t>• Wrote the full Python pipeline including data loading, preprocessing, feature engineering and the train test split</w:t>
      </w:r>
      <w:r>
        <w:br/>
        <w:t>• Implemented and tuned all three models, namely Logistic Regression, Random Forest and SVM with RBF kernel</w:t>
      </w:r>
      <w:r>
        <w:br/>
        <w:t>• Built the evaluation code, confusion matrices, ROC curves and feature importance plots</w:t>
      </w:r>
      <w:r>
        <w:br/>
        <w:t xml:space="preserve">• Prepared the </w:t>
      </w:r>
      <w:proofErr w:type="spellStart"/>
      <w:r>
        <w:t>Jupyter</w:t>
      </w:r>
      <w:proofErr w:type="spellEnd"/>
      <w:r>
        <w:t xml:space="preserve"> notebook</w:t>
      </w:r>
    </w:p>
    <w:p w14:paraId="18BB67F4" w14:textId="77777777" w:rsidR="00415621" w:rsidRDefault="005550B2">
      <w:r>
        <w:t>2. Sardor Fatxullayev</w:t>
      </w:r>
      <w:r>
        <w:br/>
        <w:t>• Wrote Chapter 1 Introduction and Chapter 2 Theoretical Part</w:t>
      </w:r>
      <w:r>
        <w:br/>
        <w:t>• Wrote Chapter 3 Practical Implementation and Chapter 4 Results and Discussion</w:t>
      </w:r>
      <w:r>
        <w:br/>
        <w:t>• Wrote Chapter 5 Conclusion and Future Work</w:t>
      </w:r>
      <w:r>
        <w:br/>
        <w:t>• Compiled the bibliography and did the final formatting and review</w:t>
      </w:r>
    </w:p>
    <w:p w14:paraId="68418F63" w14:textId="76F41126" w:rsidR="00415621" w:rsidRDefault="005550B2">
      <w:r>
        <w:t xml:space="preserve">3. </w:t>
      </w:r>
      <w:proofErr w:type="spellStart"/>
      <w:r>
        <w:t>Zoirxon</w:t>
      </w:r>
      <w:proofErr w:type="spellEnd"/>
      <w:r>
        <w:t xml:space="preserve"> Fozilxonov</w:t>
      </w:r>
      <w:r>
        <w:br/>
        <w:t>• Designed and prepared the presentation slides</w:t>
      </w:r>
      <w:r>
        <w:br/>
        <w:t>• Selected the figures and key results to highlight in the slides</w:t>
      </w:r>
      <w:r>
        <w:br/>
        <w:t>• Coordinated the demo flow and rehearsed the talk</w:t>
      </w:r>
    </w:p>
    <w:sectPr w:rsidR="004156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8460842">
    <w:abstractNumId w:val="8"/>
  </w:num>
  <w:num w:numId="2" w16cid:durableId="1447965677">
    <w:abstractNumId w:val="6"/>
  </w:num>
  <w:num w:numId="3" w16cid:durableId="1408697632">
    <w:abstractNumId w:val="5"/>
  </w:num>
  <w:num w:numId="4" w16cid:durableId="318537664">
    <w:abstractNumId w:val="4"/>
  </w:num>
  <w:num w:numId="5" w16cid:durableId="567307694">
    <w:abstractNumId w:val="7"/>
  </w:num>
  <w:num w:numId="6" w16cid:durableId="1118570987">
    <w:abstractNumId w:val="3"/>
  </w:num>
  <w:num w:numId="7" w16cid:durableId="1148015753">
    <w:abstractNumId w:val="2"/>
  </w:num>
  <w:num w:numId="8" w16cid:durableId="535042055">
    <w:abstractNumId w:val="1"/>
  </w:num>
  <w:num w:numId="9" w16cid:durableId="1496607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C07"/>
    <w:rsid w:val="00200581"/>
    <w:rsid w:val="0029639D"/>
    <w:rsid w:val="00326F90"/>
    <w:rsid w:val="00415621"/>
    <w:rsid w:val="00552EA8"/>
    <w:rsid w:val="005550B2"/>
    <w:rsid w:val="00905B67"/>
    <w:rsid w:val="00A511C7"/>
    <w:rsid w:val="00AA1D8D"/>
    <w:rsid w:val="00AF52F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9766A"/>
  <w14:defaultImageDpi w14:val="300"/>
  <w15:docId w15:val="{9F3A7844-A071-4D02-831A-4FCB3C95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2171</Words>
  <Characters>12376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Umidjon Tojiboyev</cp:lastModifiedBy>
  <cp:revision>7</cp:revision>
  <dcterms:created xsi:type="dcterms:W3CDTF">2013-12-23T23:15:00Z</dcterms:created>
  <dcterms:modified xsi:type="dcterms:W3CDTF">2026-05-03T20:41:00Z</dcterms:modified>
  <cp:category/>
</cp:coreProperties>
</file>