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svg" ContentType="image/svg"/>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tabs>
          <w:tab w:val="clear" w:pos="709"/>
          <w:tab w:val="left" w:pos="8621" w:leader="none"/>
        </w:tabs>
        <w:bidi w:val="0"/>
        <w:spacing w:lineRule="auto" w:line="240" w:before="0" w:after="0"/>
        <w:ind w:hanging="0" w:start="0" w:end="0"/>
        <w:jc w:val="center"/>
        <w:rPr>
          <w:rFonts w:ascii="Times New Roman" w:hAnsi="Times New Roman"/>
        </w:rPr>
      </w:pPr>
      <w:r>
        <w:rPr>
          <w:rFonts w:ascii="Times New Roman" w:hAnsi="Times New Roman"/>
          <w:b/>
          <w:bCs/>
          <w:sz w:val="20"/>
          <w:szCs w:val="20"/>
          <w:u w:val="none"/>
        </w:rPr>
        <w:t xml:space="preserve">Договор об обязательном пенсионном страховании N </w:t>
      </w:r>
      <w:r>
        <w:rPr>
          <w:rFonts w:ascii="Times New Roman" w:hAnsi="Times New Roman"/>
          <w:b w:val="false"/>
          <w:bCs w:val="false"/>
          <w:sz w:val="20"/>
          <w:szCs w:val="20"/>
          <w:u w:val="single"/>
        </w:rPr>
        <w:t xml:space="preserve">                              </w:t>
      </w:r>
    </w:p>
    <w:tbl>
      <w:tblPr>
        <w:tblW w:w="9635" w:type="dxa"/>
        <w:jc w:val="start"/>
        <w:tblInd w:w="0" w:type="dxa"/>
        <w:tblLayout w:type="fixed"/>
        <w:tblCellMar>
          <w:top w:w="0" w:type="dxa"/>
          <w:start w:w="0" w:type="dxa"/>
          <w:bottom w:w="0" w:type="dxa"/>
          <w:end w:w="0" w:type="dxa"/>
        </w:tblCellMar>
      </w:tblPr>
      <w:tblGrid>
        <w:gridCol w:w="2158"/>
        <w:gridCol w:w="115"/>
        <w:gridCol w:w="7362"/>
      </w:tblGrid>
      <w:tr>
        <w:trPr/>
        <w:tc>
          <w:tcPr>
            <w:tcW w:w="2158" w:type="dxa"/>
            <w:tcBorders/>
          </w:tcPr>
          <w:p>
            <w:pPr>
              <w:pStyle w:val="Style18"/>
              <w:bidi w:val="0"/>
              <w:jc w:val="both"/>
              <w:rPr>
                <w:rFonts w:ascii="Times New Roman" w:hAnsi="Times New Roman" w:eastAsia="Symbol" w:cs="Wingdings"/>
                <w:sz w:val="20"/>
                <w:szCs w:val="20"/>
              </w:rPr>
            </w:pPr>
            <w:r>
              <w:rPr>
                <w:rFonts w:eastAsia="Symbol" w:cs="Wingdings" w:ascii="Times New Roman" w:hAnsi="Times New Roman"/>
                <w:sz w:val="20"/>
                <w:szCs w:val="20"/>
              </w:rPr>
            </w:r>
          </w:p>
        </w:tc>
        <w:tc>
          <w:tcPr>
            <w:tcW w:w="115" w:type="dxa"/>
            <w:tcBorders/>
          </w:tcPr>
          <w:p>
            <w:pPr>
              <w:pStyle w:val="Style18"/>
              <w:bidi w:val="0"/>
              <w:jc w:val="both"/>
              <w:rPr>
                <w:rFonts w:ascii="Times New Roman" w:hAnsi="Times New Roman" w:eastAsia="Symbol" w:cs="Wingdings"/>
                <w:sz w:val="20"/>
                <w:szCs w:val="20"/>
              </w:rPr>
            </w:pPr>
            <w:r>
              <w:rPr>
                <w:rFonts w:eastAsia="Symbol" w:cs="Wingdings" w:ascii="Times New Roman" w:hAnsi="Times New Roman"/>
                <w:sz w:val="20"/>
                <w:szCs w:val="20"/>
              </w:rPr>
            </w:r>
          </w:p>
        </w:tc>
        <w:tc>
          <w:tcPr>
            <w:tcW w:w="7362" w:type="dxa"/>
            <w:tcBorders/>
          </w:tcPr>
          <w:p>
            <w:pPr>
              <w:pStyle w:val="Style18"/>
              <w:bidi w:val="0"/>
              <w:jc w:val="start"/>
              <w:rPr>
                <w:rFonts w:ascii="Times New Roman" w:hAnsi="Times New Roman" w:eastAsia="Symbol" w:cs="Wingdings"/>
                <w:sz w:val="20"/>
                <w:szCs w:val="20"/>
              </w:rPr>
            </w:pPr>
            <w:r>
              <w:rPr>
                <w:rFonts w:eastAsia="Symbol" w:cs="Wingdings" w:ascii="Times New Roman" w:hAnsi="Times New Roman"/>
                <w:sz w:val="20"/>
                <w:szCs w:val="20"/>
              </w:rPr>
            </w:r>
          </w:p>
        </w:tc>
      </w:tr>
      <w:tr>
        <w:trPr/>
        <w:tc>
          <w:tcPr>
            <w:tcW w:w="2158" w:type="dxa"/>
            <w:tcBorders>
              <w:bottom w:val="single" w:sz="4" w:space="0" w:color="000000"/>
            </w:tcBorders>
          </w:tcPr>
          <w:p>
            <w:pPr>
              <w:pStyle w:val="Style18"/>
              <w:bidi w:val="0"/>
              <w:jc w:val="both"/>
              <w:rPr>
                <w:rFonts w:ascii="Times New Roman" w:hAnsi="Times New Roman" w:eastAsia="Symbol" w:cs="Wingdings"/>
                <w:sz w:val="20"/>
                <w:szCs w:val="20"/>
              </w:rPr>
            </w:pPr>
            <w:r>
              <w:rPr>
                <w:rFonts w:eastAsia="Symbol" w:cs="Wingdings" w:ascii="Times New Roman" w:hAnsi="Times New Roman"/>
                <w:sz w:val="20"/>
                <w:szCs w:val="20"/>
              </w:rPr>
            </w:r>
          </w:p>
        </w:tc>
        <w:tc>
          <w:tcPr>
            <w:tcW w:w="115" w:type="dxa"/>
            <w:tcBorders/>
          </w:tcPr>
          <w:p>
            <w:pPr>
              <w:pStyle w:val="Style18"/>
              <w:bidi w:val="0"/>
              <w:jc w:val="both"/>
              <w:rPr>
                <w:rFonts w:ascii="Times New Roman" w:hAnsi="Times New Roman" w:eastAsia="Symbol" w:cs="Wingdings"/>
                <w:sz w:val="20"/>
                <w:szCs w:val="20"/>
              </w:rPr>
            </w:pPr>
            <w:r>
              <w:rPr>
                <w:rFonts w:eastAsia="Symbol" w:cs="Wingdings" w:ascii="Times New Roman" w:hAnsi="Times New Roman"/>
                <w:sz w:val="20"/>
                <w:szCs w:val="20"/>
              </w:rPr>
            </w:r>
          </w:p>
        </w:tc>
        <w:tc>
          <w:tcPr>
            <w:tcW w:w="7362" w:type="dxa"/>
            <w:tcBorders>
              <w:bottom w:val="single" w:sz="4" w:space="0" w:color="000000"/>
            </w:tcBorders>
          </w:tcPr>
          <w:p>
            <w:pPr>
              <w:pStyle w:val="Style18"/>
              <w:bidi w:val="0"/>
              <w:jc w:val="start"/>
              <w:rPr>
                <w:rFonts w:ascii="Times New Roman" w:hAnsi="Times New Roman" w:eastAsia="Symbol" w:cs="Wingdings"/>
                <w:sz w:val="20"/>
                <w:szCs w:val="20"/>
              </w:rPr>
            </w:pPr>
            <w:r>
              <w:rPr>
                <w:rFonts w:eastAsia="Symbol" w:cs="Wingdings" w:ascii="Times New Roman" w:hAnsi="Times New Roman"/>
                <w:sz w:val="20"/>
                <w:szCs w:val="20"/>
              </w:rPr>
            </w:r>
          </w:p>
        </w:tc>
      </w:tr>
      <w:tr>
        <w:trPr/>
        <w:tc>
          <w:tcPr>
            <w:tcW w:w="2158" w:type="dxa"/>
            <w:tcBorders/>
            <w:vAlign w:val="center"/>
          </w:tcPr>
          <w:p>
            <w:pPr>
              <w:pStyle w:val="Style18"/>
              <w:bidi w:val="0"/>
              <w:jc w:val="center"/>
              <w:rPr>
                <w:rFonts w:ascii="Times New Roman" w:hAnsi="Times New Roman" w:eastAsia="Symbol" w:cs="Wingdings"/>
                <w:sz w:val="18"/>
                <w:szCs w:val="18"/>
              </w:rPr>
            </w:pPr>
            <w:r>
              <w:rPr>
                <w:rFonts w:eastAsia="Symbol" w:cs="Wingdings" w:ascii="Times New Roman" w:hAnsi="Times New Roman"/>
                <w:sz w:val="18"/>
                <w:szCs w:val="18"/>
              </w:rPr>
              <w:t>(дата заключения договора)</w:t>
            </w:r>
          </w:p>
        </w:tc>
        <w:tc>
          <w:tcPr>
            <w:tcW w:w="115" w:type="dxa"/>
            <w:tcBorders/>
            <w:vAlign w:val="center"/>
          </w:tcPr>
          <w:p>
            <w:pPr>
              <w:pStyle w:val="Style18"/>
              <w:bidi w:val="0"/>
              <w:jc w:val="both"/>
              <w:rPr>
                <w:rFonts w:ascii="Times New Roman" w:hAnsi="Times New Roman" w:eastAsia="Symbol" w:cs="Wingdings"/>
                <w:sz w:val="20"/>
                <w:szCs w:val="20"/>
              </w:rPr>
            </w:pPr>
            <w:r>
              <w:rPr>
                <w:rFonts w:eastAsia="Symbol" w:cs="Wingdings" w:ascii="Times New Roman" w:hAnsi="Times New Roman"/>
                <w:sz w:val="20"/>
                <w:szCs w:val="20"/>
              </w:rPr>
            </w:r>
          </w:p>
        </w:tc>
        <w:tc>
          <w:tcPr>
            <w:tcW w:w="7362" w:type="dxa"/>
            <w:tcBorders/>
            <w:vAlign w:val="center"/>
          </w:tcPr>
          <w:p>
            <w:pPr>
              <w:pStyle w:val="Style18"/>
              <w:bidi w:val="0"/>
              <w:jc w:val="center"/>
              <w:rPr>
                <w:rFonts w:ascii="Times New Roman" w:hAnsi="Times New Roman" w:eastAsia="Symbol" w:cs="Wingdings"/>
                <w:sz w:val="18"/>
                <w:szCs w:val="18"/>
              </w:rPr>
            </w:pPr>
            <w:r>
              <w:rPr>
                <w:rFonts w:eastAsia="Symbol" w:cs="Wingdings" w:ascii="Times New Roman" w:hAnsi="Times New Roman"/>
                <w:sz w:val="18"/>
                <w:szCs w:val="18"/>
              </w:rPr>
              <w:t>(место заключения договора)</w:t>
            </w:r>
          </w:p>
        </w:tc>
      </w:tr>
    </w:tbl>
    <w:tbl>
      <w:tblPr>
        <w:tblW w:w="5000" w:type="pct"/>
        <w:jc w:val="start"/>
        <w:tblInd w:w="0" w:type="dxa"/>
        <w:tblLayout w:type="fixed"/>
        <w:tblCellMar>
          <w:top w:w="0" w:type="dxa"/>
          <w:start w:w="0" w:type="dxa"/>
          <w:bottom w:w="0" w:type="dxa"/>
          <w:end w:w="0" w:type="dxa"/>
        </w:tblCellMar>
      </w:tblPr>
      <w:tblGrid>
        <w:gridCol w:w="9638"/>
      </w:tblGrid>
      <w:tr>
        <w:trPr/>
        <w:tc>
          <w:tcPr>
            <w:tcW w:w="9638" w:type="dxa"/>
            <w:tcBorders/>
          </w:tcPr>
          <w:p>
            <w:pPr>
              <w:pStyle w:val="Style18"/>
              <w:bidi w:val="0"/>
              <w:jc w:val="center"/>
              <w:rPr>
                <w:rFonts w:ascii="Times New Roman" w:hAnsi="Times New Roman" w:eastAsia="Symbol" w:cs="Wingdings"/>
                <w:sz w:val="20"/>
                <w:szCs w:val="20"/>
              </w:rPr>
            </w:pPr>
            <w:r>
              <w:rPr>
                <w:rFonts w:eastAsia="Symbol" w:cs="Wingdings" w:ascii="Times New Roman" w:hAnsi="Times New Roman"/>
                <w:sz w:val="20"/>
                <w:szCs w:val="20"/>
              </w:rPr>
              <w:t>Негосударственный пенсионный фонд</w:t>
              <w:br/>
              <w:t>АКЦИОНЕРНОЕ ОБЩЕСТВО "НЕГОСУДАРСТВЕННЫЙ ПЕНСИОННЫЙ ФОНД "БЛАГОСОСТОЯНИЕ"</w:t>
              <w:br/>
              <w:t>(АО "НПФ "БЛАГОСОСТОЯНИЕ"</w:t>
            </w:r>
            <w:r>
              <w:rPr>
                <w:rFonts w:eastAsia="Symbol" w:cs="Wingdings" w:ascii="Times New Roman" w:hAnsi="Times New Roman"/>
                <w:sz w:val="20"/>
                <w:szCs w:val="20"/>
                <w:lang w:val="en-US"/>
              </w:rPr>
              <w:t>)</w:t>
            </w:r>
          </w:p>
        </w:tc>
      </w:tr>
    </w:tbl>
    <w:p>
      <w:pPr>
        <w:pStyle w:val="OEM"/>
        <w:rPr>
          <w:rFonts w:ascii="Times New Roman" w:hAnsi="Times New Roman"/>
          <w:spacing w:val="-2"/>
          <w:sz w:val="20"/>
          <w:szCs w:val="20"/>
        </w:rPr>
      </w:pPr>
      <w:r>
        <w:rPr>
          <w:rFonts w:ascii="Times New Roman" w:hAnsi="Times New Roman"/>
          <w:spacing w:val="-2"/>
          <w:sz w:val="20"/>
          <w:szCs w:val="20"/>
        </w:rPr>
        <w:t xml:space="preserve">(далее - Фонд), осуществляющий деятельность по обязательному пенсионному страхованию, действующий на основании лицензии от </w:t>
      </w:r>
      <w:r>
        <w:rPr>
          <w:rFonts w:ascii="Times New Roman" w:hAnsi="Times New Roman"/>
          <w:spacing w:val="-2"/>
          <w:sz w:val="20"/>
          <w:szCs w:val="20"/>
          <w:u w:val="none"/>
        </w:rPr>
        <w:t>22.03.2005</w:t>
      </w:r>
      <w:r>
        <w:rPr>
          <w:rFonts w:ascii="Times New Roman" w:hAnsi="Times New Roman"/>
          <w:spacing w:val="-2"/>
          <w:sz w:val="20"/>
          <w:szCs w:val="20"/>
        </w:rPr>
        <w:t xml:space="preserve"> N </w:t>
      </w:r>
      <w:r>
        <w:rPr>
          <w:rFonts w:ascii="Times New Roman" w:hAnsi="Times New Roman"/>
          <w:spacing w:val="-2"/>
          <w:sz w:val="20"/>
          <w:szCs w:val="20"/>
          <w:u w:val="none"/>
        </w:rPr>
        <w:t>234/2</w:t>
      </w:r>
      <w:r>
        <w:rPr>
          <w:rFonts w:ascii="Times New Roman" w:hAnsi="Times New Roman"/>
          <w:spacing w:val="-2"/>
          <w:sz w:val="20"/>
          <w:szCs w:val="20"/>
        </w:rPr>
        <w:t xml:space="preserve"> на осуществление деятельности по пенсионному обеспечению и пенсионному страхованию, выданной </w:t>
      </w:r>
      <w:r>
        <w:rPr>
          <w:rFonts w:ascii="Times New Roman" w:hAnsi="Times New Roman"/>
          <w:spacing w:val="-2"/>
          <w:sz w:val="20"/>
          <w:szCs w:val="20"/>
          <w:u w:val="none"/>
        </w:rPr>
        <w:t>Федеральной службой по финансовым рынкам</w:t>
      </w:r>
      <w:r>
        <w:rPr>
          <w:rFonts w:ascii="Times New Roman" w:hAnsi="Times New Roman"/>
          <w:spacing w:val="-2"/>
          <w:sz w:val="20"/>
          <w:szCs w:val="20"/>
        </w:rPr>
        <w:t>, зарегистрировавший в Банке России страховые правила Фонда и вступивший в систему гарантирования прав застрахованных лиц, в лице</w:t>
      </w:r>
    </w:p>
    <w:p>
      <w:pPr>
        <w:pStyle w:val="OEM"/>
        <w:jc w:val="center"/>
        <w:rPr>
          <w:rFonts w:ascii="Times New Roman" w:hAnsi="Times New Roman"/>
          <w:sz w:val="20"/>
          <w:szCs w:val="20"/>
        </w:rPr>
      </w:pPr>
      <w:r>
        <w:rPr>
          <w:rFonts w:ascii="Times New Roman" w:hAnsi="Times New Roman"/>
          <w:sz w:val="20"/>
          <w:szCs w:val="20"/>
          <w:u w:val="single"/>
        </w:rPr>
        <w:t xml:space="preserve">                                                                                                                                                                                               </w:t>
      </w:r>
      <w:r>
        <w:rPr>
          <w:rFonts w:ascii="Times New Roman" w:hAnsi="Times New Roman"/>
          <w:sz w:val="20"/>
          <w:szCs w:val="20"/>
        </w:rPr>
        <w:t>,</w:t>
      </w:r>
    </w:p>
    <w:p>
      <w:pPr>
        <w:pStyle w:val="OEM"/>
        <w:jc w:val="center"/>
        <w:rPr>
          <w:rFonts w:ascii="Times New Roman" w:hAnsi="Times New Roman"/>
          <w:sz w:val="18"/>
          <w:szCs w:val="18"/>
        </w:rPr>
      </w:pPr>
      <w:r>
        <w:rPr>
          <w:rFonts w:ascii="Times New Roman" w:hAnsi="Times New Roman"/>
          <w:sz w:val="18"/>
          <w:szCs w:val="18"/>
        </w:rPr>
        <w:t>(указываются должность, фамилия, имя, отчество заместителя генерального директора)</w:t>
      </w:r>
    </w:p>
    <w:p>
      <w:pPr>
        <w:pStyle w:val="OEM"/>
        <w:spacing w:before="0" w:after="0"/>
        <w:rPr>
          <w:rFonts w:ascii="Times New Roman" w:hAnsi="Times New Roman"/>
          <w:sz w:val="20"/>
          <w:szCs w:val="20"/>
        </w:rPr>
      </w:pPr>
      <w:r>
        <w:rPr>
          <w:rFonts w:ascii="Times New Roman" w:hAnsi="Times New Roman"/>
          <w:sz w:val="20"/>
          <w:szCs w:val="20"/>
        </w:rPr>
        <w:t xml:space="preserve">действующего(ей) на основании </w:t>
      </w:r>
      <w:r>
        <w:rPr>
          <w:rFonts w:ascii="Times New Roman" w:hAnsi="Times New Roman"/>
          <w:b w:val="false"/>
          <w:bCs w:val="false"/>
          <w:sz w:val="20"/>
          <w:szCs w:val="20"/>
          <w:u w:val="none"/>
        </w:rPr>
        <w:t xml:space="preserve">доверенности от </w:t>
      </w:r>
      <w:r>
        <w:rPr>
          <w:rFonts w:ascii="Times New Roman" w:hAnsi="Times New Roman"/>
          <w:b w:val="false"/>
          <w:bCs w:val="false"/>
          <w:sz w:val="20"/>
          <w:szCs w:val="20"/>
          <w:u w:val="single"/>
        </w:rPr>
        <w:t xml:space="preserve">                                  </w:t>
      </w:r>
      <w:r>
        <w:rPr>
          <w:rFonts w:ascii="Times New Roman" w:hAnsi="Times New Roman"/>
          <w:b w:val="false"/>
          <w:bCs w:val="false"/>
          <w:sz w:val="20"/>
          <w:szCs w:val="20"/>
          <w:u w:val="none"/>
        </w:rPr>
        <w:t xml:space="preserve"> № </w:t>
      </w:r>
      <w:r>
        <w:rPr>
          <w:rFonts w:ascii="Times New Roman" w:hAnsi="Times New Roman"/>
          <w:b w:val="false"/>
          <w:bCs w:val="false"/>
          <w:sz w:val="20"/>
          <w:szCs w:val="20"/>
          <w:u w:val="single"/>
        </w:rPr>
        <w:t xml:space="preserve">                                  </w:t>
      </w:r>
      <w:r>
        <w:rPr>
          <w:rFonts w:ascii="Times New Roman" w:hAnsi="Times New Roman"/>
          <w:sz w:val="20"/>
          <w:szCs w:val="20"/>
        </w:rPr>
        <w:t>, с одной стороны и</w:t>
      </w:r>
    </w:p>
    <w:tbl>
      <w:tblPr>
        <w:tblW w:w="5000" w:type="pct"/>
        <w:jc w:val="start"/>
        <w:tblInd w:w="0" w:type="dxa"/>
        <w:tblLayout w:type="fixed"/>
        <w:tblCellMar>
          <w:top w:w="0" w:type="dxa"/>
          <w:start w:w="0" w:type="dxa"/>
          <w:bottom w:w="0" w:type="dxa"/>
          <w:end w:w="0" w:type="dxa"/>
        </w:tblCellMar>
      </w:tblPr>
      <w:tblGrid>
        <w:gridCol w:w="9638"/>
      </w:tblGrid>
      <w:tr>
        <w:trPr/>
        <w:tc>
          <w:tcPr>
            <w:tcW w:w="9638" w:type="dxa"/>
            <w:tcBorders/>
          </w:tcPr>
          <w:tbl>
            <w:tblPr>
              <w:tblW w:w="9638" w:type="dxa"/>
              <w:jc w:val="start"/>
              <w:tblInd w:w="0" w:type="dxa"/>
              <w:tblLayout w:type="fixed"/>
              <w:tblCellMar>
                <w:top w:w="0" w:type="dxa"/>
                <w:start w:w="0" w:type="dxa"/>
                <w:bottom w:w="0" w:type="dxa"/>
                <w:end w:w="0" w:type="dxa"/>
              </w:tblCellMar>
            </w:tblPr>
            <w:tblGrid>
              <w:gridCol w:w="4364"/>
              <w:gridCol w:w="62"/>
              <w:gridCol w:w="5212"/>
            </w:tblGrid>
            <w:tr>
              <w:trPr/>
              <w:tc>
                <w:tcPr>
                  <w:tcW w:w="4364" w:type="dxa"/>
                  <w:tcBorders/>
                </w:tcPr>
                <w:p>
                  <w:pPr>
                    <w:pStyle w:val="Normal"/>
                    <w:bidi w:val="0"/>
                    <w:jc w:val="center"/>
                    <w:rPr>
                      <w:rFonts w:ascii="Times New Roman" w:hAnsi="Times New Roman"/>
                      <w:sz w:val="20"/>
                      <w:szCs w:val="20"/>
                    </w:rPr>
                  </w:pPr>
                  <w:r>
                    <w:rPr>
                      <w:rFonts w:ascii="Times New Roman" w:hAnsi="Times New Roman"/>
                      <w:sz w:val="20"/>
                      <w:szCs w:val="20"/>
                    </w:rPr>
                    <w:t>МАСЛЕННИКОВ ЕВГЕНИЙ ВЛАДИСЛАВОВИЧ</w:t>
                  </w:r>
                </w:p>
              </w:tc>
              <w:tc>
                <w:tcPr>
                  <w:tcW w:w="62" w:type="dxa"/>
                  <w:tcBorders/>
                </w:tcPr>
                <w:p>
                  <w:pPr>
                    <w:pStyle w:val="Style18"/>
                    <w:bidi w:val="0"/>
                    <w:jc w:val="center"/>
                    <w:rPr>
                      <w:rFonts w:ascii="Times New Roman" w:hAnsi="Times New Roman" w:eastAsia="Symbol" w:cs="Wingdings"/>
                      <w:sz w:val="20"/>
                      <w:szCs w:val="20"/>
                    </w:rPr>
                  </w:pPr>
                  <w:r>
                    <w:rPr>
                      <w:rFonts w:eastAsia="Symbol" w:cs="Wingdings" w:ascii="Times New Roman" w:hAnsi="Times New Roman"/>
                      <w:sz w:val="20"/>
                      <w:szCs w:val="20"/>
                    </w:rPr>
                  </w:r>
                </w:p>
              </w:tc>
              <w:tc>
                <w:tcPr>
                  <w:tcW w:w="5212" w:type="dxa"/>
                  <w:tcBorders/>
                </w:tcPr>
                <w:p>
                  <w:pPr>
                    <w:pStyle w:val="Normal"/>
                    <w:bidi w:val="0"/>
                    <w:jc w:val="center"/>
                    <w:rPr>
                      <w:rFonts w:ascii="Times New Roman" w:hAnsi="Times New Roman"/>
                      <w:sz w:val="20"/>
                      <w:szCs w:val="20"/>
                    </w:rPr>
                  </w:pPr>
                  <w:r>
                    <w:rPr>
                      <w:rFonts w:ascii="Times New Roman" w:hAnsi="Times New Roman"/>
                      <w:sz w:val="20"/>
                      <w:szCs w:val="20"/>
                    </w:rPr>
                    <w:t>Масленников Евгений Владиславович</w:t>
                  </w:r>
                </w:p>
              </w:tc>
            </w:tr>
            <w:tr>
              <w:trPr/>
              <w:tc>
                <w:tcPr>
                  <w:tcW w:w="4364" w:type="dxa"/>
                  <w:vMerge w:val="restart"/>
                  <w:tcBorders/>
                </w:tcPr>
                <w:p>
                  <w:pPr>
                    <w:pStyle w:val="Style18"/>
                    <w:bidi w:val="0"/>
                    <w:jc w:val="center"/>
                    <w:rPr>
                      <w:rFonts w:ascii="Times New Roman" w:hAnsi="Times New Roman" w:eastAsia="Symbol" w:cs="Wingdings"/>
                      <w:sz w:val="20"/>
                      <w:szCs w:val="20"/>
                    </w:rPr>
                  </w:pPr>
                  <w:r>
                    <w:rPr>
                      <w:rFonts w:eastAsia="Symbol" w:cs="Wingdings" w:ascii="Times New Roman" w:hAnsi="Times New Roman"/>
                      <w:sz w:val="20"/>
                      <w:szCs w:val="20"/>
                    </w:rPr>
                    <w:t>страховой номер индивидуального лицевого счета застрахованного лица: 004-608-923 29</w:t>
                  </w:r>
                </w:p>
              </w:tc>
              <w:tc>
                <w:tcPr>
                  <w:tcW w:w="62" w:type="dxa"/>
                  <w:tcBorders/>
                </w:tcPr>
                <w:p>
                  <w:pPr>
                    <w:pStyle w:val="Style18"/>
                    <w:bidi w:val="0"/>
                    <w:jc w:val="start"/>
                    <w:rPr>
                      <w:rFonts w:ascii="Times New Roman" w:hAnsi="Times New Roman" w:eastAsia="Symbol" w:cs="Wingdings"/>
                      <w:sz w:val="20"/>
                      <w:szCs w:val="20"/>
                    </w:rPr>
                  </w:pPr>
                  <w:r>
                    <w:rPr>
                      <w:rFonts w:eastAsia="Symbol" w:cs="Wingdings" w:ascii="Times New Roman" w:hAnsi="Times New Roman"/>
                      <w:sz w:val="20"/>
                      <w:szCs w:val="20"/>
                    </w:rPr>
                  </w:r>
                </w:p>
              </w:tc>
              <w:tc>
                <w:tcPr>
                  <w:tcW w:w="5212" w:type="dxa"/>
                  <w:tcBorders/>
                </w:tcPr>
                <w:p>
                  <w:pPr>
                    <w:pStyle w:val="Style18"/>
                    <w:bidi w:val="0"/>
                    <w:jc w:val="center"/>
                    <w:rPr>
                      <w:rFonts w:ascii="Times New Roman" w:hAnsi="Times New Roman" w:eastAsia="Symbol" w:cs="Wingdings"/>
                      <w:sz w:val="20"/>
                      <w:szCs w:val="20"/>
                    </w:rPr>
                  </w:pPr>
                  <w:r>
                    <w:rPr>
                      <w:rFonts w:eastAsia="Symbol" w:cs="Wingdings" w:ascii="Times New Roman" w:hAnsi="Times New Roman"/>
                      <w:sz w:val="20"/>
                      <w:szCs w:val="20"/>
                    </w:rPr>
                    <w:t xml:space="preserve">мужчина, </w:t>
                  </w:r>
                  <w:r>
                    <w:rPr>
                      <w:rFonts w:eastAsia="Symbol" w:cs="Wingdings" w:ascii="Times New Roman" w:hAnsi="Times New Roman"/>
                      <w:sz w:val="20"/>
                      <w:szCs w:val="20"/>
                    </w:rPr>
                    <w:t xml:space="preserve">12 июня 1968 </w:t>
                  </w:r>
                  <w:r>
                    <w:rPr>
                      <w:rFonts w:eastAsia="Symbol" w:cs="Wingdings" w:ascii="Times New Roman" w:hAnsi="Times New Roman"/>
                      <w:sz w:val="20"/>
                      <w:szCs w:val="20"/>
                    </w:rPr>
                    <w:t xml:space="preserve">года </w:t>
                  </w:r>
                  <w:r>
                    <w:rPr>
                      <w:rFonts w:eastAsia="Symbol" w:cs="Wingdings" w:ascii="Times New Roman" w:hAnsi="Times New Roman"/>
                      <w:sz w:val="20"/>
                      <w:szCs w:val="20"/>
                    </w:rPr>
                    <w:t>рождения</w:t>
                  </w:r>
                </w:p>
              </w:tc>
            </w:tr>
            <w:tr>
              <w:trPr/>
              <w:tc>
                <w:tcPr>
                  <w:tcW w:w="4364" w:type="dxa"/>
                  <w:vMerge w:val="continue"/>
                  <w:tcBorders/>
                </w:tcPr>
                <w:p>
                  <w:pPr>
                    <w:pStyle w:val="Normal"/>
                    <w:bidi w:val="0"/>
                    <w:jc w:val="start"/>
                    <w:rPr/>
                  </w:pPr>
                  <w:r>
                    <w:rPr/>
                  </w:r>
                </w:p>
              </w:tc>
              <w:tc>
                <w:tcPr>
                  <w:tcW w:w="62" w:type="dxa"/>
                  <w:tcBorders/>
                </w:tcPr>
                <w:p>
                  <w:pPr>
                    <w:pStyle w:val="Style18"/>
                    <w:bidi w:val="0"/>
                    <w:jc w:val="center"/>
                    <w:rPr>
                      <w:rFonts w:ascii="Times New Roman" w:hAnsi="Times New Roman" w:eastAsia="Symbol" w:cs="Wingdings"/>
                      <w:sz w:val="20"/>
                      <w:szCs w:val="20"/>
                    </w:rPr>
                  </w:pPr>
                  <w:r>
                    <w:rPr>
                      <w:rFonts w:eastAsia="Symbol" w:cs="Wingdings" w:ascii="Times New Roman" w:hAnsi="Times New Roman"/>
                      <w:sz w:val="20"/>
                      <w:szCs w:val="20"/>
                    </w:rPr>
                  </w:r>
                </w:p>
              </w:tc>
              <w:tc>
                <w:tcPr>
                  <w:tcW w:w="5212" w:type="dxa"/>
                  <w:tcBorders/>
                </w:tcPr>
                <w:p>
                  <w:pPr>
                    <w:pStyle w:val="Style18"/>
                    <w:bidi w:val="0"/>
                    <w:jc w:val="center"/>
                    <w:rPr>
                      <w:rFonts w:ascii="Times New Roman" w:hAnsi="Times New Roman" w:eastAsia="Symbol" w:cs="Wingdings"/>
                      <w:spacing w:val="-2"/>
                      <w:sz w:val="20"/>
                      <w:szCs w:val="20"/>
                    </w:rPr>
                  </w:pPr>
                  <w:r>
                    <w:rPr>
                      <w:rFonts w:eastAsia="Symbol" w:cs="Wingdings" w:ascii="Times New Roman" w:hAnsi="Times New Roman"/>
                      <w:spacing w:val="-2"/>
                      <w:sz w:val="20"/>
                      <w:szCs w:val="20"/>
                      <w:lang w:val="ru-RU"/>
                    </w:rPr>
                    <w:t xml:space="preserve">место рождения: </w:t>
                  </w:r>
                  <w:r>
                    <w:rPr>
                      <w:rFonts w:eastAsia="Symbol" w:cs="Wingdings" w:ascii="Times New Roman" w:hAnsi="Times New Roman"/>
                      <w:spacing w:val="-2"/>
                      <w:sz w:val="20"/>
                      <w:szCs w:val="20"/>
                    </w:rPr>
                    <w:t>город Павлодар,</w:t>
                    <w:br/>
                    <w:t>Казахская Советская Социалистическая Республика</w:t>
                  </w:r>
                </w:p>
              </w:tc>
            </w:tr>
          </w:tbl>
          <w:p>
            <w:pPr>
              <w:pStyle w:val="Style18"/>
              <w:bidi w:val="0"/>
              <w:jc w:val="center"/>
              <w:rPr>
                <w:rFonts w:ascii="Times New Roman" w:hAnsi="Times New Roman" w:eastAsia="Symbol" w:cs="Wingdings"/>
                <w:sz w:val="20"/>
                <w:szCs w:val="20"/>
              </w:rPr>
            </w:pPr>
            <w:r>
              <w:rPr>
                <w:rFonts w:eastAsia="Symbol" w:cs="Wingdings" w:ascii="Times New Roman" w:hAnsi="Times New Roman"/>
                <w:sz w:val="20"/>
                <w:szCs w:val="20"/>
              </w:rPr>
            </w:r>
          </w:p>
        </w:tc>
      </w:tr>
    </w:tbl>
    <w:p>
      <w:pPr>
        <w:pStyle w:val="OEM"/>
        <w:spacing w:before="57" w:after="0"/>
        <w:rPr>
          <w:rFonts w:ascii="Times New Roman" w:hAnsi="Times New Roman"/>
          <w:sz w:val="20"/>
          <w:szCs w:val="20"/>
        </w:rPr>
      </w:pPr>
      <w:r>
        <w:rPr>
          <w:rFonts w:ascii="Times New Roman" w:hAnsi="Times New Roman"/>
          <w:sz w:val="20"/>
          <w:szCs w:val="20"/>
        </w:rPr>
        <w:t>(далее - застрахованное лицо) с другой стороны (далее при совместном упоминании - стороны) в соответствии с Федеральным законом от 7 мая 1998 года N 75-ФЗ "О негосударственных пенсионных фондах" (далее - Федеральный закон "О негосударственных пенсионных фондах") заключили настоящий договор о нижеследующем.</w:t>
      </w:r>
    </w:p>
    <w:p>
      <w:pPr>
        <w:pStyle w:val="OEM"/>
        <w:jc w:val="center"/>
        <w:rPr>
          <w:rFonts w:ascii="Times New Roman" w:hAnsi="Times New Roman"/>
          <w:b/>
          <w:color w:val="26282F"/>
          <w:sz w:val="20"/>
          <w:szCs w:val="20"/>
        </w:rPr>
      </w:pPr>
      <w:r>
        <w:rPr>
          <w:rFonts w:ascii="Times New Roman" w:hAnsi="Times New Roman"/>
          <w:b/>
          <w:color w:val="26282F"/>
          <w:sz w:val="20"/>
          <w:szCs w:val="20"/>
        </w:rPr>
        <w:t>I. Предмет договора</w:t>
      </w:r>
    </w:p>
    <w:p>
      <w:pPr>
        <w:pStyle w:val="OEM"/>
        <w:rPr>
          <w:rFonts w:ascii="Times New Roman" w:hAnsi="Times New Roman"/>
          <w:sz w:val="20"/>
          <w:szCs w:val="20"/>
        </w:rPr>
      </w:pPr>
      <w:r>
        <w:rPr>
          <w:rFonts w:ascii="Times New Roman" w:hAnsi="Times New Roman"/>
          <w:sz w:val="20"/>
          <w:szCs w:val="20"/>
        </w:rPr>
        <w:t>1.1. Фонд в соответствии с законодательством Российской Федерации, страховыми правилами Фонда и настоящим договором обязуется при наступлении пенсионных оснований осуществлять назначение и выплату застрахованному лицу накопительной пенсии и (или) срочной пенсионной выплаты или единовременной выплаты либо осуществлять выплаты правопреемникам застрахованного лица.</w:t>
      </w:r>
    </w:p>
    <w:p>
      <w:pPr>
        <w:pStyle w:val="OEM"/>
        <w:jc w:val="center"/>
        <w:rPr>
          <w:rFonts w:ascii="Times New Roman" w:hAnsi="Times New Roman"/>
          <w:b/>
          <w:color w:val="26282F"/>
          <w:sz w:val="20"/>
          <w:szCs w:val="20"/>
        </w:rPr>
      </w:pPr>
      <w:r>
        <w:rPr>
          <w:rFonts w:ascii="Times New Roman" w:hAnsi="Times New Roman"/>
          <w:b/>
          <w:color w:val="26282F"/>
          <w:sz w:val="20"/>
          <w:szCs w:val="20"/>
        </w:rPr>
        <w:t>II. Взаимодействие сторон</w:t>
      </w:r>
    </w:p>
    <w:p>
      <w:pPr>
        <w:pStyle w:val="OEM"/>
        <w:rPr>
          <w:rFonts w:ascii="Times New Roman" w:hAnsi="Times New Roman"/>
          <w:spacing w:val="0"/>
          <w:sz w:val="20"/>
          <w:szCs w:val="20"/>
        </w:rPr>
      </w:pPr>
      <w:r>
        <w:rPr>
          <w:rFonts w:ascii="Times New Roman" w:hAnsi="Times New Roman"/>
          <w:spacing w:val="0"/>
          <w:sz w:val="20"/>
          <w:szCs w:val="20"/>
        </w:rPr>
        <w:t>2.1. Застрахованное лицо имеет право:</w:t>
      </w:r>
    </w:p>
    <w:p>
      <w:pPr>
        <w:pStyle w:val="OEM"/>
        <w:rPr>
          <w:rFonts w:ascii="Times New Roman" w:hAnsi="Times New Roman"/>
          <w:spacing w:val="0"/>
          <w:sz w:val="20"/>
          <w:szCs w:val="20"/>
        </w:rPr>
      </w:pPr>
      <w:r>
        <w:rPr>
          <w:rFonts w:ascii="Times New Roman" w:hAnsi="Times New Roman"/>
          <w:spacing w:val="0"/>
          <w:sz w:val="20"/>
          <w:szCs w:val="20"/>
        </w:rPr>
        <w:t>а) требовать от Фонда исполнения обязательств в соответствии с условиями настоящего договора;</w:t>
      </w:r>
    </w:p>
    <w:p>
      <w:pPr>
        <w:pStyle w:val="OEM"/>
        <w:rPr>
          <w:rFonts w:ascii="Times New Roman" w:hAnsi="Times New Roman"/>
          <w:spacing w:val="0"/>
          <w:sz w:val="20"/>
          <w:szCs w:val="20"/>
        </w:rPr>
      </w:pPr>
      <w:r>
        <w:rPr>
          <w:rFonts w:ascii="Times New Roman" w:hAnsi="Times New Roman"/>
          <w:spacing w:val="0"/>
          <w:sz w:val="20"/>
          <w:szCs w:val="20"/>
        </w:rPr>
        <w:t>б) получать накопительную пенсию и (или) срочную пенсионную выплату в соответствии с Федеральным законом "О негосударственных пенсионных фондах", Федеральным законом от 28 декабря 2013 года N 424-ФЗ "О накопительной пенсии" (Собрание законодательства Российской Федерации, 2013, N 52, ст. 6989; 2018, N 41, ст. 6190) (далее - Федеральный закон "О накопительной пенсии") и Федеральным законом от 30 ноября 2011 года N 360-ФЗ "О порядке финансирования выплат за счет средств пенсионных накоплений" (Собрание законодательства Российской Федерации, 2011, N 49, ст. 7038; 2018, N 41, ст. 6190) (далее - Федеральный закон "О порядке финансирования выплат за счет средств пенсионных накоплений"), страховыми правилами Фонда и условиями настоящего договора при возникновении пенсионного основания;</w:t>
      </w:r>
    </w:p>
    <w:p>
      <w:pPr>
        <w:pStyle w:val="OEM"/>
        <w:rPr>
          <w:rFonts w:ascii="Times New Roman" w:hAnsi="Times New Roman"/>
          <w:spacing w:val="0"/>
          <w:sz w:val="20"/>
          <w:szCs w:val="20"/>
        </w:rPr>
      </w:pPr>
      <w:r>
        <w:rPr>
          <w:rFonts w:ascii="Times New Roman" w:hAnsi="Times New Roman"/>
          <w:spacing w:val="0"/>
          <w:sz w:val="20"/>
          <w:szCs w:val="20"/>
        </w:rPr>
        <w:t>в) в случаях, предусмотренных Федеральным законом "О порядке финансирования выплат за счет средств пенсионных накоплений", получать единовременную выплату;</w:t>
      </w:r>
    </w:p>
    <w:p>
      <w:pPr>
        <w:pStyle w:val="OEM"/>
        <w:rPr>
          <w:rFonts w:ascii="Times New Roman" w:hAnsi="Times New Roman"/>
          <w:spacing w:val="0"/>
          <w:sz w:val="20"/>
          <w:szCs w:val="20"/>
        </w:rPr>
      </w:pPr>
      <w:r>
        <w:rPr>
          <w:rFonts w:ascii="Times New Roman" w:hAnsi="Times New Roman"/>
          <w:spacing w:val="0"/>
          <w:sz w:val="20"/>
          <w:szCs w:val="20"/>
        </w:rPr>
        <w:t>г) получать от Фонда информацию о наступлении гарантийного случая, предусмотренного Федеральным законом от 28 декабря 2013 года N 422-ФЗ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 (Собрание законодательства Российской Федерации, 2013, N 52, ст. 6987; 2018, N 32, ст. 5115) (далее - Федеральный закон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pPr>
        <w:pStyle w:val="OEM"/>
        <w:rPr>
          <w:rFonts w:ascii="Times New Roman" w:hAnsi="Times New Roman"/>
          <w:spacing w:val="0"/>
          <w:sz w:val="20"/>
          <w:szCs w:val="20"/>
        </w:rPr>
      </w:pPr>
      <w:r>
        <w:rPr>
          <w:rFonts w:ascii="Times New Roman" w:hAnsi="Times New Roman"/>
          <w:spacing w:val="0"/>
          <w:sz w:val="20"/>
          <w:szCs w:val="20"/>
        </w:rPr>
        <w:t>д) получать по своему обращению способом, указанным им при обращении, бесплатно один раз в год в Фонде информацию о состоянии своего пенсионного счета накопительной пенсии;</w:t>
      </w:r>
    </w:p>
    <w:p>
      <w:pPr>
        <w:pStyle w:val="OEM"/>
        <w:rPr>
          <w:rFonts w:ascii="Times New Roman" w:hAnsi="Times New Roman"/>
          <w:spacing w:val="0"/>
          <w:sz w:val="20"/>
          <w:szCs w:val="20"/>
        </w:rPr>
      </w:pPr>
      <w:r>
        <w:rPr>
          <w:rFonts w:ascii="Times New Roman" w:hAnsi="Times New Roman"/>
          <w:spacing w:val="0"/>
          <w:sz w:val="20"/>
          <w:szCs w:val="20"/>
        </w:rPr>
        <w:t>е) получать в Фонде бесплатные консультации по вопросам обязательного пенсионного страхования, а также информацию о нормативных правовых актах Российской Федерации и нормативных актах Банка России в области обязательного пенсионного страхования;</w:t>
      </w:r>
    </w:p>
    <w:p>
      <w:pPr>
        <w:pStyle w:val="OEM"/>
        <w:rPr>
          <w:rFonts w:ascii="Times New Roman" w:hAnsi="Times New Roman"/>
          <w:spacing w:val="0"/>
          <w:sz w:val="20"/>
          <w:szCs w:val="20"/>
        </w:rPr>
      </w:pPr>
      <w:r>
        <w:rPr>
          <w:rFonts w:ascii="Times New Roman" w:hAnsi="Times New Roman"/>
          <w:spacing w:val="0"/>
          <w:sz w:val="20"/>
          <w:szCs w:val="20"/>
        </w:rPr>
        <w:t>ж) требовать от Фонда перевода средств (части средств) материнского (семейного) капитала, направленных на формирование накопительной пенсии, с учетом результата их инвестирования, в Фонд пенсионного и социального страхования Российской Федерации в связи с отказом от направления средств (части средств) материнского (семейного) капитала на формирование накопительной пенсии;</w:t>
      </w:r>
    </w:p>
    <w:p>
      <w:pPr>
        <w:pStyle w:val="OEM"/>
        <w:rPr>
          <w:rFonts w:ascii="Times New Roman" w:hAnsi="Times New Roman"/>
          <w:spacing w:val="0"/>
          <w:sz w:val="20"/>
          <w:szCs w:val="20"/>
        </w:rPr>
      </w:pPr>
      <w:r>
        <w:rPr>
          <w:rFonts w:ascii="Times New Roman" w:hAnsi="Times New Roman"/>
          <w:spacing w:val="0"/>
          <w:sz w:val="20"/>
          <w:szCs w:val="20"/>
        </w:rPr>
        <w:t>з) защищать свои права, в том числе в судебном порядке;</w:t>
      </w:r>
    </w:p>
    <w:p>
      <w:pPr>
        <w:pStyle w:val="OEM"/>
        <w:rPr>
          <w:rFonts w:ascii="Times New Roman" w:hAnsi="Times New Roman"/>
          <w:spacing w:val="0"/>
          <w:sz w:val="20"/>
          <w:szCs w:val="20"/>
        </w:rPr>
      </w:pPr>
      <w:r>
        <w:rPr>
          <w:rFonts w:ascii="Times New Roman" w:hAnsi="Times New Roman"/>
          <w:spacing w:val="0"/>
          <w:sz w:val="20"/>
          <w:szCs w:val="20"/>
        </w:rPr>
        <w:t>и) до обращения за установлением накопительной пенсии, срочной пенсионной выплаты, единовременной выплаты средств пенсионных накоплений, но не чаще одного раза в год воспользоваться правом на переход в другой негосударственный пенсионный фонд или в Фонд пенсионного и социального страхования Российской Федерации путем заключения нового договора об обязательном пенсионном страховании с другим негосударственным пенсионным фондом и направления в Фонд пенсионного и социального страхования Российской Федерации заявления о переходе (досрочном переходе) в другой негосударственный пенсионный фонд или подачи заявления о переходе (досрочном переходе) в Фонд пенсионного и социального страхования Российской Федерации;</w:t>
      </w:r>
    </w:p>
    <w:p>
      <w:pPr>
        <w:pStyle w:val="OEM"/>
        <w:rPr>
          <w:rFonts w:ascii="Times New Roman" w:hAnsi="Times New Roman"/>
          <w:spacing w:val="0"/>
          <w:sz w:val="20"/>
          <w:szCs w:val="20"/>
        </w:rPr>
      </w:pPr>
      <w:r>
        <w:rPr>
          <w:rFonts w:ascii="Times New Roman" w:hAnsi="Times New Roman"/>
          <w:spacing w:val="0"/>
          <w:sz w:val="20"/>
          <w:szCs w:val="20"/>
        </w:rPr>
        <w:t>к) требовать от Фонда перевода части восполнения объема средств пенсионных накоплений, осуществляемого Фондом в соответствии с пунктом 15 статьи 25 Федерального закона «О негосударственных пенсионных фондах», в негосударственный пенсионный фонд, с которым застрахованным лицом заключен новый договор об обязательном пенсионном страховании, либо в Фонд пенсионного и социального страхования Российской Федерации, если в отношении Фонда было принято решение о наличии нарушения условий организации инвестирования средств пенсионных накоплений в период, когда Фонд являлся страховщиком по обязательному пенсионному страхованию в отношении средств, уплаченных в пользу застрахованного лица;</w:t>
      </w:r>
    </w:p>
    <w:p>
      <w:pPr>
        <w:pStyle w:val="OEM"/>
        <w:rPr>
          <w:rFonts w:ascii="Times New Roman" w:hAnsi="Times New Roman"/>
          <w:spacing w:val="0"/>
          <w:sz w:val="20"/>
          <w:szCs w:val="20"/>
        </w:rPr>
      </w:pPr>
      <w:r>
        <w:rPr>
          <w:rFonts w:ascii="Times New Roman" w:hAnsi="Times New Roman"/>
          <w:spacing w:val="0"/>
          <w:sz w:val="20"/>
          <w:szCs w:val="20"/>
        </w:rPr>
        <w:t>л) в любое время подать в Фонд заявление о распределении средств пенсионных накоплений между правопреемниками в случае отсутствия указания правопреемников в договоре об обязательном пенсионном страховании или в случае необходимости изменения в договоре или в предыдущем заявлении лица (круга лиц), указанного (указанных) в качестве правопреемника (правопреемников), и их долей.</w:t>
      </w:r>
    </w:p>
    <w:p>
      <w:pPr>
        <w:pStyle w:val="OEM"/>
        <w:rPr>
          <w:rFonts w:ascii="Times New Roman" w:hAnsi="Times New Roman"/>
          <w:spacing w:val="0"/>
          <w:sz w:val="20"/>
          <w:szCs w:val="20"/>
        </w:rPr>
      </w:pPr>
      <w:r>
        <w:rPr>
          <w:rFonts w:ascii="Times New Roman" w:hAnsi="Times New Roman"/>
          <w:spacing w:val="0"/>
          <w:sz w:val="20"/>
          <w:szCs w:val="20"/>
        </w:rPr>
        <w:t>2.2. Застрахованное лицо обязано:</w:t>
      </w:r>
    </w:p>
    <w:p>
      <w:pPr>
        <w:pStyle w:val="OEM"/>
        <w:rPr>
          <w:rFonts w:ascii="Times New Roman" w:hAnsi="Times New Roman"/>
          <w:spacing w:val="0"/>
          <w:sz w:val="20"/>
          <w:szCs w:val="20"/>
        </w:rPr>
      </w:pPr>
      <w:r>
        <w:rPr>
          <w:rFonts w:ascii="Times New Roman" w:hAnsi="Times New Roman"/>
          <w:spacing w:val="0"/>
          <w:sz w:val="20"/>
          <w:szCs w:val="20"/>
        </w:rPr>
        <w:t>а) предъявлять в фонд содержащие достоверные сведения документы, являющиеся основанием для назначения и выплаты накопительной пенсии и (или) срочной пенсионной выплаты или единовременной выплаты;</w:t>
      </w:r>
    </w:p>
    <w:p>
      <w:pPr>
        <w:pStyle w:val="OEM"/>
        <w:rPr>
          <w:rFonts w:ascii="Times New Roman" w:hAnsi="Times New Roman"/>
          <w:spacing w:val="0"/>
          <w:sz w:val="20"/>
          <w:szCs w:val="20"/>
        </w:rPr>
      </w:pPr>
      <w:r>
        <w:rPr>
          <w:rFonts w:ascii="Times New Roman" w:hAnsi="Times New Roman"/>
          <w:spacing w:val="0"/>
          <w:sz w:val="20"/>
          <w:szCs w:val="20"/>
        </w:rPr>
        <w:t>б) сообщать в фонд обо всех изменениях, влияющих на выплату накопительной пенсии, срочную пенсионную выплату, единовременную выплату, выплаты правопреемникам;</w:t>
      </w:r>
    </w:p>
    <w:p>
      <w:pPr>
        <w:pStyle w:val="OEM"/>
        <w:rPr>
          <w:rFonts w:ascii="Times New Roman" w:hAnsi="Times New Roman"/>
          <w:spacing w:val="0"/>
          <w:sz w:val="20"/>
          <w:szCs w:val="20"/>
        </w:rPr>
      </w:pPr>
      <w:r>
        <w:rPr>
          <w:rFonts w:ascii="Times New Roman" w:hAnsi="Times New Roman"/>
          <w:spacing w:val="0"/>
          <w:sz w:val="20"/>
          <w:szCs w:val="20"/>
        </w:rPr>
        <w:t>в) соблюдать условия, установленные для назначения и выплаты накопительной пенсии и (или) срочной пенсионной выплаты или единовременной выплаты;</w:t>
      </w:r>
    </w:p>
    <w:p>
      <w:pPr>
        <w:pStyle w:val="OEM"/>
        <w:rPr>
          <w:rFonts w:ascii="Times New Roman" w:hAnsi="Times New Roman"/>
          <w:spacing w:val="0"/>
          <w:sz w:val="20"/>
          <w:szCs w:val="20"/>
        </w:rPr>
      </w:pPr>
      <w:r>
        <w:rPr>
          <w:rFonts w:ascii="Times New Roman" w:hAnsi="Times New Roman"/>
          <w:spacing w:val="0"/>
          <w:sz w:val="20"/>
          <w:szCs w:val="20"/>
        </w:rPr>
        <w:t>г) в случае изменения ранее представленных данных, сообщить в фонд о таких изменениях и представлять документы, содержащие изменившиеся данные, в течение одного календарного месяца со дня изменения.</w:t>
      </w:r>
    </w:p>
    <w:p>
      <w:pPr>
        <w:pStyle w:val="OEM"/>
        <w:rPr>
          <w:rFonts w:ascii="Times New Roman" w:hAnsi="Times New Roman"/>
          <w:spacing w:val="0"/>
          <w:sz w:val="20"/>
          <w:szCs w:val="20"/>
        </w:rPr>
      </w:pPr>
      <w:r>
        <w:rPr>
          <w:rFonts w:ascii="Times New Roman" w:hAnsi="Times New Roman"/>
          <w:spacing w:val="0"/>
          <w:sz w:val="20"/>
          <w:szCs w:val="20"/>
        </w:rPr>
        <w:t>2.3. Фонд имеет право:</w:t>
      </w:r>
    </w:p>
    <w:p>
      <w:pPr>
        <w:pStyle w:val="OEM"/>
        <w:rPr>
          <w:rFonts w:ascii="Times New Roman" w:hAnsi="Times New Roman"/>
          <w:spacing w:val="0"/>
          <w:sz w:val="20"/>
          <w:szCs w:val="20"/>
        </w:rPr>
      </w:pPr>
      <w:r>
        <w:rPr>
          <w:rFonts w:ascii="Times New Roman" w:hAnsi="Times New Roman"/>
          <w:spacing w:val="0"/>
          <w:sz w:val="20"/>
          <w:szCs w:val="20"/>
        </w:rPr>
        <w:t>а) представлять интересы застрахованного лица перед страхователем;</w:t>
      </w:r>
    </w:p>
    <w:p>
      <w:pPr>
        <w:pStyle w:val="OEM"/>
        <w:rPr>
          <w:rFonts w:ascii="Times New Roman" w:hAnsi="Times New Roman"/>
          <w:spacing w:val="-2"/>
          <w:sz w:val="20"/>
          <w:szCs w:val="20"/>
        </w:rPr>
      </w:pPr>
      <w:r>
        <w:rPr>
          <w:rFonts w:ascii="Times New Roman" w:hAnsi="Times New Roman"/>
          <w:spacing w:val="-2"/>
          <w:sz w:val="20"/>
          <w:szCs w:val="20"/>
        </w:rPr>
        <w:t>б) получать вознаграждение в соответствии с Федеральным законом "О негосударственных пенсионных фондах";</w:t>
      </w:r>
    </w:p>
    <w:p>
      <w:pPr>
        <w:pStyle w:val="OEM"/>
        <w:rPr>
          <w:rFonts w:ascii="Times New Roman" w:hAnsi="Times New Roman"/>
          <w:spacing w:val="0"/>
          <w:sz w:val="20"/>
          <w:szCs w:val="20"/>
        </w:rPr>
      </w:pPr>
      <w:r>
        <w:rPr>
          <w:rFonts w:ascii="Times New Roman" w:hAnsi="Times New Roman"/>
          <w:spacing w:val="0"/>
          <w:sz w:val="20"/>
          <w:szCs w:val="20"/>
        </w:rPr>
        <w:t>в) делать застрахованным лицам заявления или прогнозы относительно результатов будущей инвестиционной деятельности, содержащие указание на то, что результаты инвестирования в прошлом не определяют доходов в будущем.</w:t>
      </w:r>
    </w:p>
    <w:p>
      <w:pPr>
        <w:pStyle w:val="OEM"/>
        <w:rPr>
          <w:rFonts w:ascii="Times New Roman" w:hAnsi="Times New Roman"/>
          <w:spacing w:val="0"/>
          <w:sz w:val="20"/>
          <w:szCs w:val="20"/>
        </w:rPr>
      </w:pPr>
      <w:r>
        <w:rPr>
          <w:rFonts w:ascii="Times New Roman" w:hAnsi="Times New Roman"/>
          <w:spacing w:val="0"/>
          <w:sz w:val="20"/>
          <w:szCs w:val="20"/>
        </w:rPr>
        <w:t>2.4. Фонд обязан:</w:t>
      </w:r>
    </w:p>
    <w:p>
      <w:pPr>
        <w:pStyle w:val="OEM"/>
        <w:rPr>
          <w:rFonts w:ascii="Times New Roman" w:hAnsi="Times New Roman"/>
          <w:spacing w:val="0"/>
          <w:sz w:val="20"/>
          <w:szCs w:val="20"/>
        </w:rPr>
      </w:pPr>
      <w:r>
        <w:rPr>
          <w:rFonts w:ascii="Times New Roman" w:hAnsi="Times New Roman"/>
          <w:spacing w:val="0"/>
          <w:sz w:val="20"/>
          <w:szCs w:val="20"/>
        </w:rPr>
        <w:t>а) знакомить застрахованное лицо со своими страховыми правилами и со всеми вносимыми в них изменениями;</w:t>
      </w:r>
    </w:p>
    <w:p>
      <w:pPr>
        <w:pStyle w:val="OEM"/>
        <w:rPr>
          <w:rFonts w:ascii="Times New Roman" w:hAnsi="Times New Roman"/>
          <w:spacing w:val="0"/>
          <w:sz w:val="20"/>
          <w:szCs w:val="20"/>
        </w:rPr>
      </w:pPr>
      <w:r>
        <w:rPr>
          <w:rFonts w:ascii="Times New Roman" w:hAnsi="Times New Roman"/>
          <w:spacing w:val="0"/>
          <w:sz w:val="20"/>
          <w:szCs w:val="20"/>
        </w:rPr>
        <w:t>б) осуществлять учет сведений о застрахованном лице в форме ведения пенсионного счета накопительной пенсии, а также учет средств пенсионных накоплений;</w:t>
      </w:r>
    </w:p>
    <w:p>
      <w:pPr>
        <w:pStyle w:val="OEM"/>
        <w:rPr>
          <w:rFonts w:ascii="Times New Roman" w:hAnsi="Times New Roman"/>
          <w:spacing w:val="0"/>
          <w:sz w:val="20"/>
          <w:szCs w:val="20"/>
        </w:rPr>
      </w:pPr>
      <w:r>
        <w:rPr>
          <w:rFonts w:ascii="Times New Roman" w:hAnsi="Times New Roman"/>
          <w:spacing w:val="0"/>
          <w:sz w:val="20"/>
          <w:szCs w:val="20"/>
        </w:rPr>
        <w:t>в) бесплатно предоставлять один раз в год застрахованному лицу по его обращению способом, указанным им при обращении, информацию о состоянии его пенсионного счета накопительной пенсии и информацию о результатах инвестирования средств пенсионных накоплений, в том числе о суммах дополнительных страховых взносов на накопительную пенсию, взносов работодателя, взносов на софинансирование формирования пенсионных накоплений, средств (части средств) материнского (семейного) капитала, направленных на формирование накопительной пенсии, и о результатах их инвестирования, а также предоставлять застрахованному лицу информацию о видах выплат, финансируемых за счет средств пенсионных накоплений, в течение 10 дней со дня обращения (указанная информация может быть направлена в форме электронного документа с использованием информационно-телекоммуникационных сетей общего пользования, в том числе сети "Интернет", а также иным способом, в том числе почтовым отправлением);</w:t>
      </w:r>
    </w:p>
    <w:p>
      <w:pPr>
        <w:pStyle w:val="OEM"/>
        <w:rPr>
          <w:rFonts w:ascii="Times New Roman" w:hAnsi="Times New Roman"/>
          <w:spacing w:val="0"/>
          <w:sz w:val="20"/>
          <w:szCs w:val="20"/>
        </w:rPr>
      </w:pPr>
      <w:r>
        <w:rPr>
          <w:rFonts w:ascii="Times New Roman" w:hAnsi="Times New Roman"/>
          <w:spacing w:val="0"/>
          <w:sz w:val="20"/>
          <w:szCs w:val="20"/>
        </w:rPr>
        <w:t>г) при предоставлении информации о состоянии пенсионного счета накопительной пенсии застрахованного лица уведомлять его о наступлении гарантийного случая (гарантийных случаев), предусмотренного (предусмотренных) Федеральным законом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 в отношении его пенсионных накоплений, в течение отчетного и (или) текущего календарного года, а также об осуществленном в течение указанного периода гарантийном восполнении;</w:t>
      </w:r>
    </w:p>
    <w:p>
      <w:pPr>
        <w:pStyle w:val="OEM"/>
        <w:rPr>
          <w:rFonts w:ascii="Times New Roman" w:hAnsi="Times New Roman"/>
          <w:spacing w:val="0"/>
          <w:sz w:val="20"/>
          <w:szCs w:val="20"/>
        </w:rPr>
      </w:pPr>
      <w:r>
        <w:rPr>
          <w:rFonts w:ascii="Times New Roman" w:hAnsi="Times New Roman"/>
          <w:spacing w:val="0"/>
          <w:sz w:val="20"/>
          <w:szCs w:val="20"/>
        </w:rPr>
        <w:t>д) производить назначение, осуществлять корректировку размера и выплату застрахованному лицу накопительной пенсии и (или) срочной пенсионной выплаты или единовременной выплаты в соответствии с Федеральным законом "О негосударственных пенсионных фондах", Федеральным законом "О накопительной пенсии", Федеральным законом "О порядке финансирования выплат за счет средств пенсионных накоплений", страховыми правилами Фонда и настоящим договором;</w:t>
      </w:r>
    </w:p>
    <w:p>
      <w:pPr>
        <w:pStyle w:val="OEM"/>
        <w:rPr>
          <w:rFonts w:ascii="Times New Roman" w:hAnsi="Times New Roman"/>
          <w:spacing w:val="0"/>
          <w:sz w:val="20"/>
          <w:szCs w:val="20"/>
        </w:rPr>
      </w:pPr>
      <w:r>
        <w:rPr>
          <w:rFonts w:ascii="Times New Roman" w:hAnsi="Times New Roman"/>
          <w:spacing w:val="0"/>
          <w:sz w:val="20"/>
          <w:szCs w:val="20"/>
        </w:rPr>
        <w:t>е) осуществлять выплаты правопреемникам застрахованного лица в порядке, установленном Федеральным законом "О негосударственных пенсионных фондах", Федеральным законом "О накопительной пенсии", страховыми правилами Фонда и настоящим договором;</w:t>
      </w:r>
    </w:p>
    <w:p>
      <w:pPr>
        <w:pStyle w:val="OEM"/>
        <w:rPr>
          <w:rFonts w:ascii="Times New Roman" w:hAnsi="Times New Roman"/>
          <w:spacing w:val="0"/>
          <w:sz w:val="20"/>
          <w:szCs w:val="20"/>
        </w:rPr>
      </w:pPr>
      <w:r>
        <w:rPr>
          <w:rFonts w:ascii="Times New Roman" w:hAnsi="Times New Roman"/>
          <w:spacing w:val="0"/>
          <w:sz w:val="20"/>
          <w:szCs w:val="20"/>
        </w:rPr>
        <w:t>ж) передавать средства пенсионных накоплений в Фонд пенсионного и социального страхования Российской Федерации или другой негосударственный пенсионный фонд в случаях и объеме, предусмотренных Федеральным законом "О негосударственных пенсионных фондах";</w:t>
      </w:r>
    </w:p>
    <w:p>
      <w:pPr>
        <w:pStyle w:val="OEM"/>
        <w:rPr>
          <w:rFonts w:ascii="Times New Roman" w:hAnsi="Times New Roman"/>
          <w:spacing w:val="0"/>
          <w:sz w:val="20"/>
          <w:szCs w:val="20"/>
        </w:rPr>
      </w:pPr>
      <w:r>
        <w:rPr>
          <w:rFonts w:ascii="Times New Roman" w:hAnsi="Times New Roman"/>
          <w:spacing w:val="0"/>
          <w:sz w:val="20"/>
          <w:szCs w:val="20"/>
        </w:rPr>
        <w:t>з) передавать средства (часть средств) материнского (семейного) капитала, направленные на формирование накопительной пенсии, с учетом результата их инвестирования, в Фонд пенсионного и социального страхования Российской Федерации в соответствии с уведомлением Фонда пенсионного и социального страхования Российской Федерации о передаче средств (части средств) материнского (семейного) капитала в связи с отказом застрахованного лица от направления средств (части средств) материнского (семейного) капитала на формирование накопительной пенсии.</w:t>
      </w:r>
    </w:p>
    <w:p>
      <w:pPr>
        <w:pStyle w:val="OEM"/>
        <w:rPr>
          <w:rFonts w:ascii="Times New Roman" w:hAnsi="Times New Roman"/>
          <w:spacing w:val="0"/>
          <w:sz w:val="20"/>
          <w:szCs w:val="20"/>
        </w:rPr>
      </w:pPr>
      <w:r>
        <w:rPr>
          <w:rFonts w:ascii="Times New Roman" w:hAnsi="Times New Roman"/>
          <w:spacing w:val="0"/>
          <w:sz w:val="20"/>
          <w:szCs w:val="20"/>
        </w:rPr>
        <w:t>и) предоставлять по требованию застрахованного лица по месту нахождения Фонда и его обособленных подразделений документы и информацию, предусмотренные статьей 35.2 Федерального закона "О негосударственных пенсионных фондах";</w:t>
      </w:r>
    </w:p>
    <w:p>
      <w:pPr>
        <w:pStyle w:val="OEM"/>
        <w:rPr>
          <w:rFonts w:ascii="Times New Roman" w:hAnsi="Times New Roman"/>
          <w:spacing w:val="0"/>
          <w:sz w:val="20"/>
          <w:szCs w:val="20"/>
        </w:rPr>
      </w:pPr>
      <w:r>
        <w:rPr>
          <w:rFonts w:ascii="Times New Roman" w:hAnsi="Times New Roman"/>
          <w:spacing w:val="0"/>
          <w:sz w:val="20"/>
          <w:szCs w:val="20"/>
        </w:rPr>
        <w:t>к) бесплатно консультировать застрахованное лицо по вопросам обязательного пенсионного страхования и в случае обращения застрахованного лица информировать его о нормативных правовых актах Российской Федерации и нормативных актах Банка России в области обязательного пенсионного страхования;</w:t>
      </w:r>
    </w:p>
    <w:p>
      <w:pPr>
        <w:pStyle w:val="OEM"/>
        <w:rPr>
          <w:rFonts w:ascii="Times New Roman" w:hAnsi="Times New Roman"/>
          <w:spacing w:val="0"/>
          <w:sz w:val="20"/>
          <w:szCs w:val="20"/>
        </w:rPr>
      </w:pPr>
      <w:r>
        <w:rPr>
          <w:rFonts w:ascii="Times New Roman" w:hAnsi="Times New Roman"/>
          <w:spacing w:val="0"/>
          <w:sz w:val="20"/>
          <w:szCs w:val="20"/>
        </w:rPr>
        <w:t>л) не принимать в одностороннем порядке решения, нарушающие права застрахованного лица;</w:t>
      </w:r>
    </w:p>
    <w:p>
      <w:pPr>
        <w:pStyle w:val="Style16"/>
        <w:bidi w:val="0"/>
        <w:jc w:val="both"/>
        <w:rPr>
          <w:rFonts w:ascii="Times New Roman" w:hAnsi="Times New Roman"/>
          <w:spacing w:val="0"/>
          <w:sz w:val="20"/>
          <w:szCs w:val="20"/>
        </w:rPr>
      </w:pPr>
      <w:r>
        <w:rPr>
          <w:rFonts w:ascii="Times New Roman" w:hAnsi="Times New Roman"/>
          <w:spacing w:val="0"/>
          <w:sz w:val="20"/>
          <w:szCs w:val="20"/>
        </w:rPr>
        <w:t>м) отражать на пенсионных счетах накопительной пенсии застрахованных лиц по состоянию на 31 декабря каждого года не позднее 31 марта следующего года результаты инвестирования средств пенсионных накоплений, в том числе дополнительных страховых взносов на накопительную пенсию, взносов работодателя, взносов на софинансирование формирования пенсионных накоплений, средств (части средств) материнского (семейного) капитала, направленных на формирование накопительной пенсии;</w:t>
      </w:r>
    </w:p>
    <w:p>
      <w:pPr>
        <w:pStyle w:val="Style16"/>
        <w:bidi w:val="0"/>
        <w:jc w:val="both"/>
        <w:rPr>
          <w:rFonts w:ascii="Times New Roman" w:hAnsi="Times New Roman"/>
          <w:spacing w:val="0"/>
          <w:sz w:val="20"/>
          <w:szCs w:val="20"/>
        </w:rPr>
      </w:pPr>
      <w:r>
        <w:rPr>
          <w:rFonts w:ascii="Times New Roman" w:hAnsi="Times New Roman"/>
          <w:spacing w:val="0"/>
          <w:sz w:val="20"/>
          <w:szCs w:val="20"/>
        </w:rPr>
        <w:t>н) отдельно отражать на пенсионных счетах накопительной пенсии застрахованных лиц, которым еще не установлена выплата за счет средств пенсионных накоплений, по состоянию на 31 декабря года, в котором истекает кратный пяти годам срок с года вступления в силу договора об обязательном пенсионном страховании с Фондом, не позднее 31 марта следующего года средства пенсионных накоплений, в том числе дополнительных страховых взносов на накопительную пенсию, взносов работодателя, взносов на софинансирование формирования пенсионных накоплений, средств (части средств) материнского (семейного) капитала, направленных на формирование накопительной пенсии, и гарантийного восполнения, размер которых определяется в соответствии со статьей 36.2-1 Федерального закона «О негосударственных пенсионных фондах»;</w:t>
      </w:r>
    </w:p>
    <w:p>
      <w:pPr>
        <w:pStyle w:val="Style16"/>
        <w:bidi w:val="0"/>
        <w:jc w:val="both"/>
        <w:rPr>
          <w:rFonts w:ascii="Times New Roman" w:hAnsi="Times New Roman"/>
          <w:spacing w:val="0"/>
          <w:sz w:val="20"/>
          <w:szCs w:val="20"/>
        </w:rPr>
      </w:pPr>
      <w:r>
        <w:rPr>
          <w:rFonts w:ascii="Times New Roman" w:hAnsi="Times New Roman"/>
          <w:spacing w:val="0"/>
          <w:sz w:val="20"/>
          <w:szCs w:val="20"/>
        </w:rPr>
        <w:t>о) осуществлять гарантийное восполнение, подлежащее отражению на пенсионном счете накопительной пенсии застрахованного лица, зачислению в состав средств выплатного резерва или средств пенсионных накоплений застрахованных лиц, которым установлена срочная пенсионная выплата, в случаях и порядке, предусмотренных Федеральным законом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 за счет средств резерва по обязательному пенсионному страхованию, а при недостаточности указанного резерва - за счет собственных средств Фонда и (или) иных источников, не запрещенных законодательством Российской Федерации;</w:t>
      </w:r>
    </w:p>
    <w:p>
      <w:pPr>
        <w:pStyle w:val="Style16"/>
        <w:bidi w:val="0"/>
        <w:jc w:val="both"/>
        <w:rPr>
          <w:rFonts w:ascii="Times New Roman" w:hAnsi="Times New Roman"/>
          <w:spacing w:val="0"/>
          <w:sz w:val="20"/>
          <w:szCs w:val="20"/>
        </w:rPr>
      </w:pPr>
      <w:r>
        <w:rPr>
          <w:rFonts w:ascii="Times New Roman" w:hAnsi="Times New Roman"/>
          <w:spacing w:val="0"/>
          <w:sz w:val="20"/>
          <w:szCs w:val="20"/>
        </w:rPr>
        <w:t>п) формировать выплатной резерв для осуществления выплаты накопительной пенсии в порядке, предусмотренном Федеральным законом «О порядке финансирования выплат за счет средств пенсионных накоплений»;</w:t>
      </w:r>
    </w:p>
    <w:p>
      <w:pPr>
        <w:pStyle w:val="Style16"/>
        <w:bidi w:val="0"/>
        <w:jc w:val="both"/>
        <w:rPr>
          <w:rFonts w:ascii="Times New Roman" w:hAnsi="Times New Roman"/>
          <w:spacing w:val="0"/>
          <w:sz w:val="20"/>
          <w:szCs w:val="20"/>
        </w:rPr>
      </w:pPr>
      <w:r>
        <w:rPr>
          <w:rFonts w:ascii="Times New Roman" w:hAnsi="Times New Roman"/>
          <w:spacing w:val="0"/>
          <w:sz w:val="20"/>
          <w:szCs w:val="20"/>
        </w:rPr>
        <w:t>р) извещать застрахованное лицо о невозможности передачи суммы средств (части средств) материнского (семейного) капитала, направленных на формирование накопительной пенсии, в размере, указанном в уведомлении Фонд пенсионного и социального страхования Российской Федерации о передаче средств (части средств) материнского (семейного) капитала в связи с отказом застрахованного лица от направления средств (части средств) материнского (семейного) капитала на формирование накопительной пенсии;</w:t>
      </w:r>
    </w:p>
    <w:p>
      <w:pPr>
        <w:pStyle w:val="Style16"/>
        <w:bidi w:val="0"/>
        <w:jc w:val="both"/>
        <w:rPr>
          <w:rFonts w:ascii="Times New Roman" w:hAnsi="Times New Roman"/>
          <w:spacing w:val="0"/>
          <w:sz w:val="20"/>
          <w:szCs w:val="20"/>
        </w:rPr>
      </w:pPr>
      <w:r>
        <w:rPr>
          <w:rFonts w:ascii="Times New Roman" w:hAnsi="Times New Roman"/>
          <w:spacing w:val="0"/>
          <w:sz w:val="20"/>
          <w:szCs w:val="20"/>
        </w:rPr>
        <w:t>с) передавать средства (часть средств) материнского (семейного) капитала, направленные на формирование накопительной пенсии, с учетом результата их инвестирования в Фонд пенсионного и социального страхования Российской Федерации в случае смерти застрахованного лица до назначения накопительной пенсии или срочной пенсионной выплаты (корректировки ее размера);</w:t>
      </w:r>
    </w:p>
    <w:p>
      <w:pPr>
        <w:pStyle w:val="Style16"/>
        <w:bidi w:val="0"/>
        <w:jc w:val="both"/>
        <w:rPr>
          <w:rFonts w:ascii="Times New Roman" w:hAnsi="Times New Roman"/>
          <w:spacing w:val="0"/>
          <w:sz w:val="20"/>
          <w:szCs w:val="20"/>
        </w:rPr>
      </w:pPr>
      <w:r>
        <w:rPr>
          <w:rFonts w:ascii="Times New Roman" w:hAnsi="Times New Roman"/>
          <w:spacing w:val="0"/>
          <w:sz w:val="20"/>
          <w:szCs w:val="20"/>
        </w:rPr>
        <w:t>т) в письменной форме уведомлять об аннулировании у Фонда лицензии и о последствиях аннулирования лицензии своих застрахованных лиц, подавших в Фонд заявление о назначении накопительной пенсии и (или) срочной пенсионной выплаты или единовременной выплаты (их правопреемников, подавших в Фонд заявление о выплате средств пенсионных накоплений) не позднее дня аннулирования лицензии, если до дня аннулирования лицензии по указанным заявлениям Фондом не были приняты решения.</w:t>
      </w:r>
    </w:p>
    <w:p>
      <w:pPr>
        <w:pStyle w:val="OEM"/>
        <w:jc w:val="center"/>
        <w:rPr>
          <w:rFonts w:ascii="Times New Roman" w:hAnsi="Times New Roman"/>
          <w:b/>
          <w:color w:val="26282F"/>
          <w:spacing w:val="0"/>
          <w:sz w:val="20"/>
          <w:szCs w:val="20"/>
        </w:rPr>
      </w:pPr>
      <w:r>
        <w:rPr>
          <w:rFonts w:ascii="Times New Roman" w:hAnsi="Times New Roman"/>
          <w:b/>
          <w:color w:val="26282F"/>
          <w:spacing w:val="0"/>
          <w:sz w:val="20"/>
          <w:szCs w:val="20"/>
        </w:rPr>
        <w:t>III. Пенсионные основания</w:t>
      </w:r>
    </w:p>
    <w:p>
      <w:pPr>
        <w:pStyle w:val="OEM"/>
        <w:jc w:val="both"/>
        <w:rPr>
          <w:rFonts w:ascii="Times New Roman" w:hAnsi="Times New Roman"/>
          <w:spacing w:val="0"/>
          <w:sz w:val="20"/>
          <w:szCs w:val="20"/>
        </w:rPr>
      </w:pPr>
      <w:r>
        <w:rPr>
          <w:rFonts w:ascii="Times New Roman" w:hAnsi="Times New Roman"/>
          <w:spacing w:val="0"/>
          <w:sz w:val="20"/>
          <w:szCs w:val="20"/>
        </w:rPr>
        <w:t xml:space="preserve">3.1. Пенсионными основаниями для назначения и выплаты накопительной пенсии являются: </w:t>
      </w:r>
    </w:p>
    <w:p>
      <w:pPr>
        <w:pStyle w:val="OEM"/>
        <w:jc w:val="both"/>
        <w:rPr>
          <w:rFonts w:ascii="Times New Roman" w:hAnsi="Times New Roman"/>
          <w:spacing w:val="0"/>
          <w:sz w:val="20"/>
          <w:szCs w:val="20"/>
        </w:rPr>
      </w:pPr>
      <w:r>
        <w:rPr>
          <w:rFonts w:ascii="Times New Roman" w:hAnsi="Times New Roman"/>
          <w:spacing w:val="0"/>
          <w:sz w:val="20"/>
          <w:szCs w:val="20"/>
        </w:rPr>
        <w:t xml:space="preserve">а) </w:t>
      </w:r>
      <w:r>
        <w:rPr>
          <w:rFonts w:ascii="Times New Roman" w:hAnsi="Times New Roman"/>
          <w:b/>
          <w:bCs/>
          <w:spacing w:val="0"/>
          <w:sz w:val="20"/>
          <w:szCs w:val="20"/>
        </w:rPr>
        <w:t>достижение возраста 60 лет</w:t>
      </w:r>
      <w:r>
        <w:rPr>
          <w:rFonts w:ascii="Times New Roman" w:hAnsi="Times New Roman"/>
          <w:spacing w:val="0"/>
          <w:sz w:val="20"/>
          <w:szCs w:val="20"/>
        </w:rPr>
        <w:t xml:space="preserve"> (</w:t>
      </w:r>
      <w:r>
        <w:rPr>
          <w:rFonts w:ascii="Times New Roman" w:hAnsi="Times New Roman"/>
          <w:b/>
          <w:bCs/>
          <w:spacing w:val="0"/>
          <w:sz w:val="20"/>
          <w:szCs w:val="20"/>
        </w:rPr>
        <w:t>для мужчин</w:t>
      </w:r>
      <w:r>
        <w:rPr>
          <w:rFonts w:ascii="Times New Roman" w:hAnsi="Times New Roman"/>
          <w:spacing w:val="0"/>
          <w:sz w:val="20"/>
          <w:szCs w:val="20"/>
        </w:rPr>
        <w:t xml:space="preserve">) и возраста 55 лет (для женщин) при соблюдении условий для назначения страховой пенсии по старости, установленных Федеральным законом «О страховых пенсиях» (наличие необходимого страхового стажа и установленной величины индивидуального пенсионного коэффициента), при наличии средств пенсионных накоплений, учтенных на пенсионном счете накопительной пенсии застрахованного лица, если размер накопительной пенсии составляет более 10 процентов от величины прожиточного минимума пенсионера в целом по Российской Федерации, установленной в соответствии с п.2 статьи 4 Федерального закона от 24.10.1997 №134-ФЗ «О прожиточном минимуме в Российской Федерации»; </w:t>
      </w:r>
    </w:p>
    <w:p>
      <w:pPr>
        <w:pStyle w:val="OEM"/>
        <w:jc w:val="both"/>
        <w:rPr>
          <w:rFonts w:ascii="Times New Roman" w:hAnsi="Times New Roman"/>
          <w:spacing w:val="0"/>
          <w:sz w:val="20"/>
          <w:szCs w:val="20"/>
        </w:rPr>
      </w:pPr>
      <w:r>
        <w:rPr>
          <w:rFonts w:ascii="Times New Roman" w:hAnsi="Times New Roman"/>
          <w:spacing w:val="0"/>
          <w:sz w:val="20"/>
          <w:szCs w:val="20"/>
        </w:rPr>
        <w:t>б) для застрахованных лиц, указанных в части 1 статьи 30, статье 31, части 1 статьи 32, части 2 статьи 33 Федерального закона «О страховых пенсиях» - достижение возраста или наступление срока, определяемых в соответствии с Федеральным законом «О страховых пенсиях» по состоянию на 31 декабря 2018 года, и при соблюдении условий, дающих право на досрочное назначение страховой пенсии по старости (наличие необходимого страхового стажа и (или) стажа на соответствующих видах работ и установленной величины индивидуального пенсионного коэффициента).</w:t>
      </w:r>
      <w:r>
        <mc:AlternateContent>
          <mc:Choice Requires="wps">
            <w:drawing>
              <wp:anchor behindDoc="0" distT="72390" distB="72390" distL="72390" distR="72390" simplePos="0" locked="0" layoutInCell="0" allowOverlap="1" relativeHeight="5">
                <wp:simplePos x="0" y="0"/>
                <wp:positionH relativeFrom="page">
                  <wp:posOffset>0</wp:posOffset>
                </wp:positionH>
                <wp:positionV relativeFrom="page">
                  <wp:posOffset>10026015</wp:posOffset>
                </wp:positionV>
                <wp:extent cx="3128645" cy="298450"/>
                <wp:effectExtent l="0" t="0" r="0" b="0"/>
                <wp:wrapNone/>
                <wp:docPr id="1" name="Врезка1"/>
                <a:graphic xmlns:a="http://schemas.openxmlformats.org/drawingml/2006/main">
                  <a:graphicData uri="http://schemas.microsoft.com/office/word/2010/wordprocessingShape">
                    <wps:wsp>
                      <wps:cNvSpPr txBox="1"/>
                      <wps:spPr>
                        <a:xfrm>
                          <a:off x="0" y="0"/>
                          <a:ext cx="3128645" cy="298450"/>
                        </a:xfrm>
                        <a:prstGeom prst="rect"/>
                        <a:solidFill>
                          <a:srgbClr val="FFFFFF"/>
                        </a:solidFill>
                      </wps:spPr>
                      <wps:txbx>
                        <w:txbxContent>
                          <w:tbl>
                            <w:tblPr>
                              <w:tblW w:w="3793" w:type="dxa"/>
                              <w:jc w:val="end"/>
                              <w:tblInd w:w="0" w:type="dxa"/>
                              <w:tblLayout w:type="fixed"/>
                              <w:tblCellMar>
                                <w:top w:w="0" w:type="dxa"/>
                                <w:start w:w="0" w:type="dxa"/>
                                <w:bottom w:w="0" w:type="dxa"/>
                                <w:end w:w="0" w:type="dxa"/>
                              </w:tblCellMar>
                            </w:tblPr>
                            <w:tblGrid>
                              <w:gridCol w:w="3793"/>
                            </w:tblGrid>
                            <w:tr>
                              <w:trPr/>
                              <w:tc>
                                <w:tcPr>
                                  <w:tcW w:w="3793" w:type="dxa"/>
                                  <w:tcBorders>
                                    <w:top w:val="single" w:sz="4" w:space="0" w:color="000000"/>
                                  </w:tcBorders>
                                </w:tcPr>
                                <w:p>
                                  <w:pPr>
                                    <w:pStyle w:val="Style18"/>
                                    <w:bidi w:val="0"/>
                                    <w:jc w:val="both"/>
                                    <w:rPr>
                                      <w:rFonts w:ascii="Times New Roman" w:hAnsi="Times New Roman"/>
                                      <w:sz w:val="16"/>
                                      <w:szCs w:val="16"/>
                                    </w:rPr>
                                  </w:pPr>
                                  <w:r>
                                    <w:rPr>
                                      <w:rFonts w:ascii="Times New Roman" w:hAnsi="Times New Roman"/>
                                      <w:sz w:val="16"/>
                                      <w:szCs w:val="16"/>
                                      <w:vertAlign w:val="superscript"/>
                                    </w:rPr>
                                    <w:t>1</w:t>
                                  </w:r>
                                  <w:r>
                                    <w:rPr>
                                      <w:rFonts w:ascii="Times New Roman" w:hAnsi="Times New Roman"/>
                                      <w:sz w:val="16"/>
                                      <w:szCs w:val="16"/>
                                    </w:rPr>
                                    <w:t xml:space="preserve"> Пункт заполняется по решению застрахованного лица</w:t>
                                  </w:r>
                                </w:p>
                              </w:tc>
                            </w:tr>
                          </w:tbl>
                          <w:p>
                            <w:pPr>
                              <w:pStyle w:val="Style20"/>
                              <w:bidi w:val="0"/>
                              <w:jc w:val="end"/>
                              <w:rPr/>
                            </w:pPr>
                            <w:r>
                              <w:rPr/>
                            </w:r>
                          </w:p>
                        </w:txbxContent>
                      </wps:txbx>
                      <wps:bodyPr anchor="t" lIns="0" tIns="0" rIns="0" bIns="0">
                        <a:noAutofit/>
                      </wps:bodyPr>
                    </wps:wsp>
                  </a:graphicData>
                </a:graphic>
              </wp:anchor>
            </w:drawing>
          </mc:Choice>
          <mc:Fallback>
            <w:pict>
              <v:rect style="position:absolute;rotation:-0;width:246.35pt;height:23.5pt;mso-wrap-distance-left:5.7pt;mso-wrap-distance-right:5.7pt;mso-wrap-distance-top:5.7pt;mso-wrap-distance-bottom:5.7pt;margin-top:789.45pt;mso-position-vertical-relative:page;margin-left:0pt;mso-position-horizontal-relative:page">
                <v:textbox inset="0in,0in,0in,0in">
                  <w:txbxContent>
                    <w:tbl>
                      <w:tblPr>
                        <w:tblW w:w="3793" w:type="dxa"/>
                        <w:jc w:val="end"/>
                        <w:tblInd w:w="0" w:type="dxa"/>
                        <w:tblLayout w:type="fixed"/>
                        <w:tblCellMar>
                          <w:top w:w="0" w:type="dxa"/>
                          <w:start w:w="0" w:type="dxa"/>
                          <w:bottom w:w="0" w:type="dxa"/>
                          <w:end w:w="0" w:type="dxa"/>
                        </w:tblCellMar>
                      </w:tblPr>
                      <w:tblGrid>
                        <w:gridCol w:w="3793"/>
                      </w:tblGrid>
                      <w:tr>
                        <w:trPr/>
                        <w:tc>
                          <w:tcPr>
                            <w:tcW w:w="3793" w:type="dxa"/>
                            <w:tcBorders>
                              <w:top w:val="single" w:sz="4" w:space="0" w:color="000000"/>
                            </w:tcBorders>
                          </w:tcPr>
                          <w:p>
                            <w:pPr>
                              <w:pStyle w:val="Style18"/>
                              <w:bidi w:val="0"/>
                              <w:jc w:val="both"/>
                              <w:rPr>
                                <w:rFonts w:ascii="Times New Roman" w:hAnsi="Times New Roman"/>
                                <w:sz w:val="16"/>
                                <w:szCs w:val="16"/>
                              </w:rPr>
                            </w:pPr>
                            <w:r>
                              <w:rPr>
                                <w:rFonts w:ascii="Times New Roman" w:hAnsi="Times New Roman"/>
                                <w:sz w:val="16"/>
                                <w:szCs w:val="16"/>
                                <w:vertAlign w:val="superscript"/>
                              </w:rPr>
                              <w:t>1</w:t>
                            </w:r>
                            <w:r>
                              <w:rPr>
                                <w:rFonts w:ascii="Times New Roman" w:hAnsi="Times New Roman"/>
                                <w:sz w:val="16"/>
                                <w:szCs w:val="16"/>
                              </w:rPr>
                              <w:t xml:space="preserve"> Пункт заполняется по решению застрахованного лица</w:t>
                            </w:r>
                          </w:p>
                        </w:tc>
                      </w:tr>
                    </w:tbl>
                    <w:p>
                      <w:pPr>
                        <w:pStyle w:val="Style20"/>
                        <w:bidi w:val="0"/>
                        <w:jc w:val="end"/>
                        <w:rPr/>
                      </w:pPr>
                      <w:r>
                        <w:rPr/>
                      </w:r>
                    </w:p>
                  </w:txbxContent>
                </v:textbox>
                <w10:wrap type="none"/>
              </v:rect>
            </w:pict>
          </mc:Fallback>
        </mc:AlternateContent>
      </w:r>
    </w:p>
    <w:p>
      <w:pPr>
        <w:pStyle w:val="OEM"/>
        <w:rPr>
          <w:rFonts w:ascii="Times New Roman" w:hAnsi="Times New Roman"/>
          <w:spacing w:val="0"/>
          <w:sz w:val="20"/>
          <w:szCs w:val="20"/>
        </w:rPr>
      </w:pPr>
      <w:r>
        <w:rPr>
          <w:rFonts w:ascii="Times New Roman" w:hAnsi="Times New Roman"/>
          <w:spacing w:val="0"/>
          <w:sz w:val="20"/>
          <w:szCs w:val="20"/>
        </w:rPr>
        <w:t xml:space="preserve">3.2. Срочная пенсионная выплата осуществляется: застрахованным лицам, сформировавшим пенсионные накопления за счет дополнительных страховых взносов на накопительную пенсию, взносов работодателя, взносов на софинансирование формирования пенсионных накоплений, дохода от их инвестирования, средств (части средств) материнского (семейного) капитала, направленных на формирование накопительной пенсии, дохода от их инвестирования, </w:t>
      </w:r>
      <w:r>
        <w:rPr>
          <w:rFonts w:ascii="Times New Roman" w:hAnsi="Times New Roman"/>
          <w:b/>
          <w:bCs/>
          <w:spacing w:val="0"/>
          <w:sz w:val="20"/>
          <w:szCs w:val="20"/>
        </w:rPr>
        <w:t>по достижении возраста 60</w:t>
      </w:r>
      <w:r>
        <w:rPr>
          <w:rFonts w:ascii="Times New Roman" w:hAnsi="Times New Roman"/>
          <w:spacing w:val="0"/>
          <w:sz w:val="20"/>
          <w:szCs w:val="20"/>
        </w:rPr>
        <w:t xml:space="preserve"> и 55 лет (соответственно </w:t>
      </w:r>
      <w:r>
        <w:rPr>
          <w:rFonts w:ascii="Times New Roman" w:hAnsi="Times New Roman"/>
          <w:b/>
          <w:bCs/>
          <w:spacing w:val="0"/>
          <w:sz w:val="20"/>
          <w:szCs w:val="20"/>
        </w:rPr>
        <w:t>мужчины</w:t>
      </w:r>
      <w:r>
        <w:rPr>
          <w:rFonts w:ascii="Times New Roman" w:hAnsi="Times New Roman"/>
          <w:spacing w:val="0"/>
          <w:sz w:val="20"/>
          <w:szCs w:val="20"/>
        </w:rPr>
        <w:t xml:space="preserve"> и женщины) и при соблюдении условий, дающих право на страховую пенсию по старости (наличие необходимого страхового стажа и установленной величины индивидуального пенсионного коэффициента),а лицам, указанным в части 2 статьи 6 Федерального закона от 28 декабря 2013 года № 424-ФЗ «О накопительной пенсии», - по достижении возраста или наступления срока, определяемых в соответствии с Федеральным законом от 28 декабря 2013 года № 400-ФЗ «О страховых пенсиях» по состоянию на 31.декабря 2018 года.</w:t>
      </w:r>
    </w:p>
    <w:p>
      <w:pPr>
        <w:pStyle w:val="OEM"/>
        <w:rPr>
          <w:rFonts w:ascii="Times New Roman" w:hAnsi="Times New Roman"/>
          <w:spacing w:val="0"/>
          <w:sz w:val="20"/>
          <w:szCs w:val="20"/>
        </w:rPr>
      </w:pPr>
      <w:r>
        <w:rPr>
          <w:rFonts w:ascii="Times New Roman" w:hAnsi="Times New Roman"/>
          <w:spacing w:val="0"/>
          <w:sz w:val="20"/>
          <w:szCs w:val="20"/>
        </w:rPr>
        <w:t>3.3. Единовременная выплата осуществляется:</w:t>
      </w:r>
    </w:p>
    <w:p>
      <w:pPr>
        <w:pStyle w:val="OEM"/>
        <w:rPr>
          <w:rFonts w:ascii="Times New Roman" w:hAnsi="Times New Roman"/>
          <w:spacing w:val="0"/>
          <w:sz w:val="20"/>
          <w:szCs w:val="20"/>
        </w:rPr>
      </w:pPr>
      <w:r>
        <w:rPr>
          <w:rFonts w:ascii="Times New Roman" w:hAnsi="Times New Roman"/>
          <w:spacing w:val="0"/>
          <w:sz w:val="20"/>
          <w:szCs w:val="20"/>
        </w:rPr>
        <w:t>3.3.1. застрахованным лицам, которые не приобрели право на получение накопительной пенсии в соответствии со статьей 6 Федерального закона от 28 декабря 2013 года № 424-ФЗ «О накопительной пенсии»- по достижении возраста 60 и 55 лет (соответственно мужчины и женщины);</w:t>
      </w:r>
    </w:p>
    <w:p>
      <w:pPr>
        <w:pStyle w:val="OEM"/>
        <w:rPr>
          <w:rFonts w:ascii="Times New Roman" w:hAnsi="Times New Roman"/>
          <w:spacing w:val="0"/>
          <w:sz w:val="20"/>
          <w:szCs w:val="20"/>
        </w:rPr>
      </w:pPr>
      <w:r>
        <w:rPr>
          <w:rFonts w:ascii="Times New Roman" w:hAnsi="Times New Roman"/>
          <w:spacing w:val="0"/>
          <w:sz w:val="20"/>
          <w:szCs w:val="20"/>
        </w:rPr>
        <w:t>3.3.2. застрахованным лицам, размер накопительной пенсии которых в случае ее назначения составил бы 10 процентов и менее от величины прожиточного минимума пенсионера в целом по Российской Федерации, установленной в соответствии с п. 2 статьи 4 Федерального закона от 24 октября 1997 года № 134-ФЗ «О прожиточном минимуме в Российской Федерации» по достижении возраста 60 и 55 лет (соответственно мужчины и женщины), а лицам, указанным в части 2 статьи 6 Федерального закона от 28 декабря 2013 года № 424-ФЗ «О накопительной пенсии»,- по достижении возраста или наступления срока, определяемых в соответствии с Федеральным законом от 28 декабря 2013 года № 400-ФЗ «О страховых пенсиях» по состоянию на 31.декабря 2018 года, и при соблюдении условий, дающих право на досрочное назначение страховой пенсии по старости (наличие необходимого страхового стажа и (или) стажа на соответствующих видах работ и установленной величины индивидуального пенсионного коэффициента).</w:t>
      </w:r>
    </w:p>
    <w:p>
      <w:pPr>
        <w:pStyle w:val="OEM"/>
        <w:jc w:val="center"/>
        <w:rPr>
          <w:rFonts w:ascii="Times New Roman" w:hAnsi="Times New Roman"/>
          <w:b/>
          <w:color w:val="26282F"/>
          <w:spacing w:val="0"/>
          <w:sz w:val="20"/>
          <w:szCs w:val="20"/>
        </w:rPr>
      </w:pPr>
      <w:r>
        <w:rPr>
          <w:rFonts w:ascii="Times New Roman" w:hAnsi="Times New Roman"/>
          <w:b/>
          <w:color w:val="26282F"/>
          <w:spacing w:val="0"/>
          <w:sz w:val="20"/>
          <w:szCs w:val="20"/>
        </w:rPr>
        <w:t>IV. Установление и выплата накопительной пенсии, срочной пенсионной выплаты,</w:t>
        <w:br/>
        <w:t>единовременной выплаты, выплат правопреемникам застрахованного лица</w:t>
      </w:r>
    </w:p>
    <w:p>
      <w:pPr>
        <w:pStyle w:val="OEM"/>
        <w:rPr>
          <w:rFonts w:ascii="Times New Roman" w:hAnsi="Times New Roman"/>
          <w:spacing w:val="0"/>
          <w:sz w:val="20"/>
          <w:szCs w:val="20"/>
        </w:rPr>
      </w:pPr>
      <w:r>
        <w:rPr>
          <w:rFonts w:ascii="Times New Roman" w:hAnsi="Times New Roman"/>
          <w:spacing w:val="0"/>
          <w:sz w:val="20"/>
          <w:szCs w:val="20"/>
        </w:rPr>
        <w:t>4.1. Накопительная пенсия и (или) срочная пенсионная выплата назначаются со дня обращения за ними, но не ранее чем со дня возникновения права на указанные виды выплат за счет средств пенсионных накоплений.</w:t>
      </w:r>
    </w:p>
    <w:p>
      <w:pPr>
        <w:pStyle w:val="OEM"/>
        <w:rPr>
          <w:rFonts w:ascii="Times New Roman" w:hAnsi="Times New Roman"/>
          <w:spacing w:val="0"/>
          <w:sz w:val="20"/>
          <w:szCs w:val="20"/>
        </w:rPr>
      </w:pPr>
      <w:r>
        <w:rPr>
          <w:rFonts w:ascii="Times New Roman" w:hAnsi="Times New Roman"/>
          <w:spacing w:val="0"/>
          <w:sz w:val="20"/>
          <w:szCs w:val="20"/>
        </w:rPr>
        <w:t>4.2. Назначение застрахованному лицу накопительной пенсии и (или) срочной пенсионной выплаты осуществляется на основании заявления о назначении накопительной пенсии и (или) срочной пенсионной выплаты (далее - заявление), поданного в Фонд, а также документов, установленных страховыми правилами Фонда, подтверждающих наличие у застрахованного лица пенсионных оснований.</w:t>
      </w:r>
    </w:p>
    <w:p>
      <w:pPr>
        <w:pStyle w:val="OEM"/>
        <w:rPr>
          <w:rFonts w:ascii="Times New Roman" w:hAnsi="Times New Roman"/>
          <w:spacing w:val="0"/>
          <w:sz w:val="20"/>
          <w:szCs w:val="20"/>
        </w:rPr>
      </w:pPr>
      <w:r>
        <w:rPr>
          <w:rFonts w:ascii="Times New Roman" w:hAnsi="Times New Roman"/>
          <w:spacing w:val="0"/>
          <w:sz w:val="20"/>
          <w:szCs w:val="20"/>
        </w:rPr>
        <w:t>4.3. По результатам рассмотрения заявления застрахованного лица, обратившегося за назначением накопительной пенсии и (или) срочной пенсионной выплаты, Фонд производит расчет размеров указанных выплат и выносит решение о назначении накопительной пенсии и (или) срочной пенсионной выплаты или единовременной выплаты в соответствии со страховыми правилами Фонда.</w:t>
      </w:r>
    </w:p>
    <w:p>
      <w:pPr>
        <w:pStyle w:val="OEM"/>
        <w:rPr>
          <w:rFonts w:ascii="Times New Roman" w:hAnsi="Times New Roman"/>
          <w:spacing w:val="0"/>
          <w:sz w:val="20"/>
          <w:szCs w:val="20"/>
        </w:rPr>
      </w:pPr>
      <w:r>
        <w:rPr>
          <w:rFonts w:ascii="Times New Roman" w:hAnsi="Times New Roman"/>
          <w:spacing w:val="0"/>
          <w:sz w:val="20"/>
          <w:szCs w:val="20"/>
        </w:rPr>
        <w:t>4.4. Единовременная выплата не осуществляется, в случае если застрахованному лицу ранее была установлена накопительная пенсия.</w:t>
      </w:r>
    </w:p>
    <w:p>
      <w:pPr>
        <w:pStyle w:val="OEM"/>
        <w:rPr>
          <w:rFonts w:ascii="Times New Roman" w:hAnsi="Times New Roman"/>
          <w:spacing w:val="0"/>
          <w:sz w:val="20"/>
          <w:szCs w:val="20"/>
        </w:rPr>
      </w:pPr>
      <w:r>
        <w:rPr>
          <w:rFonts w:ascii="Times New Roman" w:hAnsi="Times New Roman"/>
          <w:spacing w:val="0"/>
          <w:sz w:val="20"/>
          <w:szCs w:val="20"/>
        </w:rPr>
        <w:t>4.5. Застрахованное лицо, реализовавшее право на получение средств пенсионных накоплений в виде единовременной выплаты, вправе вновь обратиться за осуществлением единовременной выплаты не ранее чем через пять лет со дня предыдущего обращения за выплатой средств пенсионных накоплений в виде единовременной выплаты.</w:t>
      </w:r>
    </w:p>
    <w:p>
      <w:pPr>
        <w:pStyle w:val="OEM"/>
        <w:rPr>
          <w:rFonts w:ascii="Times New Roman" w:hAnsi="Times New Roman"/>
          <w:spacing w:val="0"/>
          <w:sz w:val="20"/>
          <w:szCs w:val="20"/>
        </w:rPr>
      </w:pPr>
      <w:r>
        <w:rPr>
          <w:rFonts w:ascii="Times New Roman" w:hAnsi="Times New Roman"/>
          <w:spacing w:val="0"/>
          <w:sz w:val="20"/>
          <w:szCs w:val="20"/>
        </w:rPr>
        <w:t>4.6. В случае смерти застрахованного лица выплата средств пенсионных накоплений, учтенных на его пенсионном счете накопительной пенсии, производится его правопреемникам</w:t>
      </w:r>
      <w:r>
        <w:rPr>
          <w:rFonts w:ascii="Times New Roman" w:hAnsi="Times New Roman"/>
          <w:spacing w:val="0"/>
          <w:sz w:val="20"/>
          <w:szCs w:val="20"/>
          <w:vertAlign w:val="superscript"/>
        </w:rPr>
        <w:t>1</w:t>
      </w:r>
      <w:r>
        <w:rPr>
          <w:rFonts w:ascii="Times New Roman" w:hAnsi="Times New Roman"/>
          <w:spacing w:val="0"/>
          <w:sz w:val="20"/>
          <w:szCs w:val="20"/>
        </w:rPr>
        <w:t>:</w:t>
      </w:r>
    </w:p>
    <w:tbl>
      <w:tblPr>
        <w:tblW w:w="9635" w:type="dxa"/>
        <w:jc w:val="start"/>
        <w:tblInd w:w="0" w:type="dxa"/>
        <w:tblLayout w:type="fixed"/>
        <w:tblCellMar>
          <w:top w:w="0" w:type="dxa"/>
          <w:start w:w="0" w:type="dxa"/>
          <w:bottom w:w="0" w:type="dxa"/>
          <w:end w:w="0" w:type="dxa"/>
        </w:tblCellMar>
      </w:tblPr>
      <w:tblGrid>
        <w:gridCol w:w="3462"/>
        <w:gridCol w:w="450"/>
        <w:gridCol w:w="3346"/>
        <w:gridCol w:w="392"/>
        <w:gridCol w:w="1985"/>
      </w:tblGrid>
      <w:tr>
        <w:trPr/>
        <w:tc>
          <w:tcPr>
            <w:tcW w:w="3462" w:type="dxa"/>
            <w:tcBorders/>
          </w:tcPr>
          <w:p>
            <w:pPr>
              <w:pStyle w:val="Style18"/>
              <w:bidi w:val="0"/>
              <w:jc w:val="start"/>
              <w:rPr>
                <w:rFonts w:ascii="Times New Roman" w:hAnsi="Times New Roman" w:eastAsia="Symbol" w:cs="Wingdings"/>
                <w:sz w:val="20"/>
                <w:szCs w:val="20"/>
              </w:rPr>
            </w:pPr>
            <w:r>
              <w:rPr>
                <w:rFonts w:eastAsia="Symbol" w:cs="Wingdings" w:ascii="Times New Roman" w:hAnsi="Times New Roman"/>
                <w:sz w:val="20"/>
                <w:szCs w:val="20"/>
              </w:rPr>
              <w:t>Масленникова Инна Владиславовна</w:t>
            </w:r>
          </w:p>
        </w:tc>
        <w:tc>
          <w:tcPr>
            <w:tcW w:w="450" w:type="dxa"/>
            <w:vMerge w:val="restart"/>
            <w:tcBorders/>
          </w:tcPr>
          <w:p>
            <w:pPr>
              <w:pStyle w:val="Style18"/>
              <w:widowControl w:val="false"/>
              <w:suppressLineNumbers/>
              <w:bidi w:val="0"/>
              <w:spacing w:before="0" w:after="0"/>
              <w:ind w:hanging="0" w:start="0" w:end="0"/>
              <w:jc w:val="start"/>
              <w:rPr>
                <w:rFonts w:ascii="Times New Roman" w:hAnsi="Times New Roman" w:eastAsia="Symbol" w:cs="Wingdings"/>
                <w:sz w:val="20"/>
                <w:szCs w:val="20"/>
              </w:rPr>
            </w:pPr>
            <w:r>
              <w:rPr>
                <w:rFonts w:eastAsia="Symbol" w:cs="Wingdings" w:ascii="Times New Roman" w:hAnsi="Times New Roman"/>
                <w:sz w:val="20"/>
                <w:szCs w:val="20"/>
              </w:rPr>
            </w:r>
          </w:p>
        </w:tc>
        <w:tc>
          <w:tcPr>
            <w:tcW w:w="3346" w:type="dxa"/>
            <w:vMerge w:val="restart"/>
            <w:tcBorders/>
          </w:tcPr>
          <w:p>
            <w:pPr>
              <w:pStyle w:val="Style18"/>
              <w:widowControl w:val="false"/>
              <w:suppressLineNumbers/>
              <w:bidi w:val="0"/>
              <w:spacing w:before="0" w:after="0"/>
              <w:ind w:hanging="0" w:start="0" w:end="0"/>
              <w:jc w:val="start"/>
              <w:rPr>
                <w:rFonts w:ascii="Times New Roman" w:hAnsi="Times New Roman" w:eastAsia="Symbol" w:cs="Wingdings"/>
                <w:sz w:val="20"/>
                <w:szCs w:val="20"/>
              </w:rPr>
            </w:pPr>
            <w:r>
              <w:rPr>
                <w:rFonts w:eastAsia="Symbol" w:cs="Wingdings" w:ascii="Times New Roman" w:hAnsi="Times New Roman"/>
                <w:sz w:val="20"/>
                <w:szCs w:val="20"/>
              </w:rPr>
              <w:t xml:space="preserve">свидетельство о рождении </w:t>
              <w:br/>
              <w:t>I-СО № 276019 выдано бюро записей актов гражданского состояния города Павлодар 24 VIII 1971 года.</w:t>
            </w:r>
          </w:p>
        </w:tc>
        <w:tc>
          <w:tcPr>
            <w:tcW w:w="392" w:type="dxa"/>
            <w:vMerge w:val="restart"/>
            <w:tcBorders/>
          </w:tcPr>
          <w:p>
            <w:pPr>
              <w:pStyle w:val="Style18"/>
              <w:widowControl w:val="false"/>
              <w:suppressLineNumbers/>
              <w:bidi w:val="0"/>
              <w:spacing w:before="0" w:after="0"/>
              <w:ind w:hanging="0" w:start="0" w:end="0"/>
              <w:jc w:val="start"/>
              <w:rPr>
                <w:rFonts w:ascii="Times New Roman" w:hAnsi="Times New Roman" w:eastAsia="Symbol" w:cs="Wingdings"/>
                <w:sz w:val="20"/>
                <w:szCs w:val="20"/>
              </w:rPr>
            </w:pPr>
            <w:r>
              <w:rPr>
                <w:rFonts w:eastAsia="Symbol" w:cs="Wingdings" w:ascii="Times New Roman" w:hAnsi="Times New Roman"/>
                <w:sz w:val="20"/>
                <w:szCs w:val="20"/>
              </w:rPr>
            </w:r>
          </w:p>
        </w:tc>
        <w:tc>
          <w:tcPr>
            <w:tcW w:w="1985" w:type="dxa"/>
            <w:vMerge w:val="restart"/>
            <w:tcBorders/>
          </w:tcPr>
          <w:p>
            <w:pPr>
              <w:pStyle w:val="Style18"/>
              <w:bidi w:val="0"/>
              <w:spacing w:before="0" w:after="0"/>
              <w:jc w:val="start"/>
              <w:rPr>
                <w:rFonts w:ascii="Times New Roman" w:hAnsi="Times New Roman" w:eastAsia="Symbol" w:cs="Wingdings"/>
                <w:sz w:val="20"/>
                <w:szCs w:val="20"/>
              </w:rPr>
            </w:pPr>
            <w:r>
              <w:rPr>
                <w:rFonts w:eastAsia="Symbol" w:cs="Wingdings" w:ascii="Times New Roman" w:hAnsi="Times New Roman"/>
                <w:sz w:val="20"/>
                <w:szCs w:val="20"/>
              </w:rPr>
              <w:t xml:space="preserve">ПАСПОРТ N 16306231 </w:t>
            </w:r>
          </w:p>
          <w:p>
            <w:pPr>
              <w:pStyle w:val="Style18"/>
              <w:bidi w:val="0"/>
              <w:spacing w:before="0" w:after="0"/>
              <w:jc w:val="start"/>
              <w:rPr>
                <w:rFonts w:ascii="Times New Roman" w:hAnsi="Times New Roman" w:eastAsia="Symbol" w:cs="Wingdings"/>
                <w:sz w:val="20"/>
                <w:szCs w:val="20"/>
              </w:rPr>
            </w:pPr>
            <w:r>
              <w:rPr>
                <w:rFonts w:eastAsia="Symbol" w:cs="Wingdings" w:ascii="Times New Roman" w:hAnsi="Times New Roman"/>
                <w:sz w:val="20"/>
                <w:szCs w:val="20"/>
              </w:rPr>
              <w:t>выдан 08.02.2024</w:t>
            </w:r>
          </w:p>
          <w:p>
            <w:pPr>
              <w:pStyle w:val="Style18"/>
              <w:bidi w:val="0"/>
              <w:spacing w:before="0" w:after="0"/>
              <w:jc w:val="start"/>
              <w:rPr>
                <w:rFonts w:ascii="Times New Roman" w:hAnsi="Times New Roman" w:eastAsia="Symbol" w:cs="Wingdings"/>
                <w:sz w:val="20"/>
                <w:szCs w:val="20"/>
              </w:rPr>
            </w:pPr>
            <w:r>
              <w:rPr>
                <w:rFonts w:eastAsia="Symbol" w:cs="Wingdings" w:ascii="Times New Roman" w:hAnsi="Times New Roman"/>
                <w:sz w:val="20"/>
                <w:szCs w:val="20"/>
              </w:rPr>
              <w:t>выдавший орган: МВД Республики Казахстан.</w:t>
            </w:r>
          </w:p>
        </w:tc>
      </w:tr>
      <w:tr>
        <w:trPr/>
        <w:tc>
          <w:tcPr>
            <w:tcW w:w="3462" w:type="dxa"/>
            <w:tcBorders/>
          </w:tcPr>
          <w:p>
            <w:pPr>
              <w:pStyle w:val="Style18"/>
              <w:bidi w:val="0"/>
              <w:jc w:val="start"/>
              <w:rPr>
                <w:rFonts w:ascii="Times New Roman" w:hAnsi="Times New Roman" w:eastAsia="Symbol" w:cs="Wingdings"/>
                <w:sz w:val="20"/>
                <w:szCs w:val="20"/>
              </w:rPr>
            </w:pPr>
            <w:r>
              <w:rPr>
                <w:rFonts w:eastAsia="Symbol" w:cs="Wingdings" w:ascii="Times New Roman" w:hAnsi="Times New Roman"/>
                <w:sz w:val="20"/>
                <w:szCs w:val="20"/>
              </w:rPr>
              <w:t>23 ию</w:t>
            </w:r>
            <w:r>
              <w:rPr>
                <w:rFonts w:eastAsia="Symbol" w:cs="Wingdings" w:ascii="Times New Roman" w:hAnsi="Times New Roman"/>
                <w:sz w:val="20"/>
                <w:szCs w:val="20"/>
              </w:rPr>
              <w:t>л</w:t>
            </w:r>
            <w:r>
              <w:rPr>
                <w:rFonts w:eastAsia="Symbol" w:cs="Wingdings" w:ascii="Times New Roman" w:hAnsi="Times New Roman"/>
                <w:sz w:val="20"/>
                <w:szCs w:val="20"/>
              </w:rPr>
              <w:t xml:space="preserve">я 1971 года </w:t>
            </w:r>
            <w:r>
              <w:rPr>
                <w:rFonts w:eastAsia="Symbol" w:cs="Wingdings" w:ascii="Times New Roman" w:hAnsi="Times New Roman"/>
                <w:sz w:val="20"/>
                <w:szCs w:val="20"/>
              </w:rPr>
              <w:t>рождения,</w:t>
            </w:r>
          </w:p>
          <w:p>
            <w:pPr>
              <w:pStyle w:val="Style18"/>
              <w:bidi w:val="0"/>
              <w:jc w:val="start"/>
              <w:rPr>
                <w:rFonts w:ascii="Times New Roman" w:hAnsi="Times New Roman" w:eastAsia="Symbol" w:cs="Wingdings"/>
                <w:sz w:val="20"/>
                <w:szCs w:val="20"/>
              </w:rPr>
            </w:pPr>
            <w:r>
              <w:rPr>
                <w:rFonts w:eastAsia="Symbol" w:cs="Wingdings" w:ascii="Times New Roman" w:hAnsi="Times New Roman"/>
                <w:sz w:val="20"/>
                <w:szCs w:val="20"/>
              </w:rPr>
              <w:t>место рождения: город Павлодар,</w:t>
            </w:r>
          </w:p>
          <w:p>
            <w:pPr>
              <w:pStyle w:val="Style18"/>
              <w:bidi w:val="0"/>
              <w:jc w:val="start"/>
              <w:rPr>
                <w:rFonts w:ascii="Times New Roman" w:hAnsi="Times New Roman" w:eastAsia="Symbol" w:cs="Wingdings"/>
                <w:sz w:val="20"/>
                <w:szCs w:val="20"/>
              </w:rPr>
            </w:pPr>
            <w:r>
              <w:rPr>
                <w:rFonts w:eastAsia="Symbol" w:cs="Wingdings" w:ascii="Times New Roman" w:hAnsi="Times New Roman"/>
                <w:sz w:val="20"/>
                <w:szCs w:val="20"/>
              </w:rPr>
              <w:t>Казахская Советская Социалистическая Республика.</w:t>
            </w:r>
          </w:p>
        </w:tc>
        <w:tc>
          <w:tcPr>
            <w:tcW w:w="450" w:type="dxa"/>
            <w:vMerge w:val="continue"/>
            <w:tcBorders/>
          </w:tcPr>
          <w:p>
            <w:pPr>
              <w:pStyle w:val="Normal"/>
              <w:bidi w:val="0"/>
              <w:jc w:val="start"/>
              <w:rPr/>
            </w:pPr>
            <w:r>
              <w:rPr/>
            </w:r>
          </w:p>
        </w:tc>
        <w:tc>
          <w:tcPr>
            <w:tcW w:w="3346" w:type="dxa"/>
            <w:vMerge w:val="continue"/>
            <w:tcBorders/>
          </w:tcPr>
          <w:p>
            <w:pPr>
              <w:pStyle w:val="Normal"/>
              <w:bidi w:val="0"/>
              <w:jc w:val="start"/>
              <w:rPr/>
            </w:pPr>
            <w:r>
              <w:rPr/>
            </w:r>
          </w:p>
        </w:tc>
        <w:tc>
          <w:tcPr>
            <w:tcW w:w="392" w:type="dxa"/>
            <w:vMerge w:val="continue"/>
            <w:tcBorders/>
          </w:tcPr>
          <w:p>
            <w:pPr>
              <w:pStyle w:val="Normal"/>
              <w:bidi w:val="0"/>
              <w:jc w:val="start"/>
              <w:rPr/>
            </w:pPr>
            <w:r>
              <w:rPr/>
            </w:r>
          </w:p>
        </w:tc>
        <w:tc>
          <w:tcPr>
            <w:tcW w:w="1985" w:type="dxa"/>
            <w:vMerge w:val="continue"/>
            <w:tcBorders/>
          </w:tcPr>
          <w:p>
            <w:pPr>
              <w:pStyle w:val="Normal"/>
              <w:bidi w:val="0"/>
              <w:jc w:val="start"/>
              <w:rPr/>
            </w:pPr>
            <w:r>
              <w:rPr/>
            </w:r>
          </w:p>
        </w:tc>
      </w:tr>
      <w:tr>
        <w:trPr/>
        <w:tc>
          <w:tcPr>
            <w:tcW w:w="9635" w:type="dxa"/>
            <w:gridSpan w:val="5"/>
            <w:tcBorders/>
          </w:tcPr>
          <w:p>
            <w:pPr>
              <w:pStyle w:val="Style18"/>
              <w:bidi w:val="0"/>
              <w:jc w:val="start"/>
              <w:rPr>
                <w:rFonts w:ascii="Times New Roman" w:hAnsi="Times New Roman" w:eastAsia="Symbol" w:cs="Wingdings"/>
                <w:sz w:val="20"/>
                <w:szCs w:val="20"/>
              </w:rPr>
            </w:pPr>
            <w:r>
              <w:rPr>
                <w:rFonts w:eastAsia="Symbol" w:cs="Wingdings" w:ascii="Times New Roman" w:hAnsi="Times New Roman"/>
                <w:sz w:val="20"/>
                <w:szCs w:val="20"/>
              </w:rPr>
              <w:t xml:space="preserve">Адрес регистрации по месту жительства и фактическое место жительства: </w:t>
            </w:r>
          </w:p>
          <w:p>
            <w:pPr>
              <w:pStyle w:val="Style18"/>
              <w:bidi w:val="0"/>
              <w:jc w:val="start"/>
              <w:rPr>
                <w:rFonts w:ascii="Times New Roman" w:hAnsi="Times New Roman" w:eastAsia="Symbol" w:cs="Wingdings"/>
                <w:sz w:val="20"/>
                <w:szCs w:val="20"/>
              </w:rPr>
            </w:pPr>
            <w:r>
              <w:rPr>
                <w:rFonts w:eastAsia="Symbol" w:cs="Wingdings" w:ascii="Times New Roman" w:hAnsi="Times New Roman"/>
                <w:sz w:val="20"/>
                <w:szCs w:val="20"/>
              </w:rPr>
              <w:t>Респу</w:t>
            </w:r>
            <w:r>
              <w:rPr>
                <w:rFonts w:eastAsia="Symbol" w:cs="Wingdings" w:ascii="Times New Roman" w:hAnsi="Times New Roman"/>
                <w:sz w:val="20"/>
                <w:szCs w:val="20"/>
              </w:rPr>
              <w:t>б</w:t>
            </w:r>
            <w:r>
              <w:rPr>
                <w:rFonts w:eastAsia="Symbol" w:cs="Wingdings" w:ascii="Times New Roman" w:hAnsi="Times New Roman"/>
                <w:sz w:val="20"/>
                <w:szCs w:val="20"/>
              </w:rPr>
              <w:t xml:space="preserve">лика Казахстан, </w:t>
            </w:r>
            <w:r>
              <w:rPr>
                <w:rFonts w:eastAsia="Symbol" w:cs="Wingdings" w:ascii="Times New Roman" w:hAnsi="Times New Roman"/>
                <w:sz w:val="20"/>
                <w:szCs w:val="20"/>
              </w:rPr>
              <w:t xml:space="preserve">140006, </w:t>
            </w:r>
            <w:r>
              <w:rPr>
                <w:rFonts w:eastAsia="Symbol" w:cs="Wingdings" w:ascii="Times New Roman" w:hAnsi="Times New Roman"/>
                <w:sz w:val="20"/>
                <w:szCs w:val="20"/>
              </w:rPr>
              <w:t>г</w:t>
            </w:r>
            <w:r>
              <w:rPr>
                <w:rFonts w:eastAsia="Symbol" w:cs="Wingdings" w:ascii="Times New Roman" w:hAnsi="Times New Roman"/>
                <w:sz w:val="20"/>
                <w:szCs w:val="20"/>
              </w:rPr>
              <w:t>ород</w:t>
            </w:r>
            <w:r>
              <w:rPr>
                <w:rFonts w:eastAsia="Symbol" w:cs="Wingdings" w:ascii="Times New Roman" w:hAnsi="Times New Roman"/>
                <w:sz w:val="20"/>
                <w:szCs w:val="20"/>
              </w:rPr>
              <w:t xml:space="preserve"> Павлодар, </w:t>
            </w:r>
            <w:r>
              <w:rPr>
                <w:rFonts w:eastAsia="Symbol" w:cs="Wingdings" w:ascii="Times New Roman" w:hAnsi="Times New Roman"/>
                <w:sz w:val="20"/>
                <w:szCs w:val="20"/>
              </w:rPr>
              <w:t>проспект</w:t>
            </w:r>
            <w:r>
              <w:rPr>
                <w:rFonts w:eastAsia="Symbol" w:cs="Wingdings" w:ascii="Times New Roman" w:hAnsi="Times New Roman"/>
                <w:sz w:val="20"/>
                <w:szCs w:val="20"/>
              </w:rPr>
              <w:t xml:space="preserve"> Назарбаева, </w:t>
            </w:r>
            <w:r>
              <w:rPr>
                <w:rFonts w:eastAsia="Symbol" w:cs="Wingdings" w:ascii="Times New Roman" w:hAnsi="Times New Roman"/>
                <w:sz w:val="20"/>
                <w:szCs w:val="20"/>
              </w:rPr>
              <w:t xml:space="preserve">дом </w:t>
            </w:r>
            <w:r>
              <w:rPr>
                <w:rFonts w:eastAsia="Symbol" w:cs="Wingdings" w:ascii="Times New Roman" w:hAnsi="Times New Roman"/>
                <w:sz w:val="20"/>
                <w:szCs w:val="20"/>
              </w:rPr>
              <w:t>3/2, кв. 58</w:t>
            </w:r>
          </w:p>
        </w:tc>
      </w:tr>
      <w:tr>
        <w:trPr/>
        <w:tc>
          <w:tcPr>
            <w:tcW w:w="9635" w:type="dxa"/>
            <w:gridSpan w:val="5"/>
            <w:tcBorders/>
          </w:tcPr>
          <w:p>
            <w:pPr>
              <w:pStyle w:val="Style18"/>
              <w:bidi w:val="0"/>
              <w:jc w:val="start"/>
              <w:rPr>
                <w:rFonts w:ascii="Times New Roman" w:hAnsi="Times New Roman" w:eastAsia="Symbol" w:cs="Wingdings"/>
                <w:sz w:val="20"/>
                <w:szCs w:val="20"/>
              </w:rPr>
            </w:pPr>
            <w:r>
              <w:rPr>
                <w:rFonts w:eastAsia="Symbol" w:cs="Wingdings" w:ascii="Times New Roman" w:hAnsi="Times New Roman"/>
                <w:sz w:val="20"/>
                <w:szCs w:val="20"/>
              </w:rPr>
              <w:t xml:space="preserve">контактный телефон </w:t>
            </w:r>
            <w:r>
              <w:rPr>
                <w:rFonts w:eastAsia="Symbol" w:cs="Wingdings" w:ascii="Times New Roman" w:hAnsi="Times New Roman"/>
                <w:sz w:val="20"/>
                <w:szCs w:val="20"/>
              </w:rPr>
              <w:t xml:space="preserve">(номер): +77714762609                                  </w:t>
            </w:r>
            <w:r>
              <w:rPr>
                <w:rFonts w:eastAsia="Symbol" w:cs="Wingdings" w:ascii="Times New Roman" w:hAnsi="Times New Roman"/>
                <w:sz w:val="20"/>
                <w:szCs w:val="20"/>
              </w:rPr>
              <w:t>электронная почта: maslennickowa.in@yandex.ru</w:t>
            </w:r>
          </w:p>
        </w:tc>
      </w:tr>
      <w:tr>
        <w:trPr/>
        <w:tc>
          <w:tcPr>
            <w:tcW w:w="9635" w:type="dxa"/>
            <w:gridSpan w:val="5"/>
            <w:tcBorders/>
          </w:tcPr>
          <w:p>
            <w:pPr>
              <w:pStyle w:val="Style18"/>
              <w:bidi w:val="0"/>
              <w:jc w:val="both"/>
              <w:rPr>
                <w:rFonts w:ascii="Times New Roman" w:hAnsi="Times New Roman" w:eastAsia="Symbol" w:cs="Wingdings"/>
                <w:sz w:val="20"/>
                <w:szCs w:val="20"/>
              </w:rPr>
            </w:pPr>
            <w:r>
              <w:rPr>
                <w:rFonts w:eastAsia="Symbol" w:cs="Wingdings" w:ascii="Times New Roman" w:hAnsi="Times New Roman"/>
                <w:sz w:val="20"/>
                <w:szCs w:val="20"/>
              </w:rPr>
              <w:t xml:space="preserve">Размер доли, в соответствии с которой следует распределить всю сумму средств пенсионных накоплений: </w:t>
            </w:r>
            <w:r>
              <w:rPr>
                <w:rFonts w:eastAsia="Symbol" w:cs="Wingdings" w:ascii="Times New Roman" w:hAnsi="Times New Roman"/>
                <w:sz w:val="20"/>
                <w:szCs w:val="20"/>
                <w:lang w:val="en-US"/>
              </w:rPr>
              <w:t>1</w:t>
            </w:r>
            <w:r>
              <w:rPr>
                <w:rFonts w:eastAsia="Symbol" w:cs="Wingdings" w:ascii="Times New Roman" w:hAnsi="Times New Roman"/>
                <w:sz w:val="20"/>
                <w:szCs w:val="20"/>
                <w:lang w:val="ru-RU"/>
              </w:rPr>
              <w:t>00%</w:t>
            </w:r>
          </w:p>
        </w:tc>
      </w:tr>
    </w:tbl>
    <w:p>
      <w:pPr>
        <w:pStyle w:val="OEM"/>
        <w:spacing w:before="0" w:after="0"/>
        <w:rPr>
          <w:rFonts w:ascii="Times New Roman" w:hAnsi="Times New Roman"/>
          <w:i w:val="false"/>
          <w:i w:val="false"/>
          <w:iCs w:val="false"/>
          <w:sz w:val="18"/>
          <w:szCs w:val="18"/>
        </w:rPr>
      </w:pPr>
      <w:r>
        <w:rPr>
          <w:rFonts w:ascii="Times New Roman" w:hAnsi="Times New Roman"/>
          <w:i w:val="false"/>
          <w:iCs w:val="false"/>
          <w:sz w:val="18"/>
          <w:szCs w:val="18"/>
        </w:rPr>
        <w:t>(указываются следующие сведения о правопреемниках: фамилия, имя, отчество (при наличии), дата и место рождения, реквизиты документа, удостоверяющего личность, адрес регистрации по месту жительства (месту пребывания) и адрес фактического проживания, контактный телефон (при наличии), а также размер доли (дробным числом или в процентах), в соответствии с которой следует распределить всю сумму средств пенсионных накоплений между правопреемниками)</w:t>
      </w:r>
    </w:p>
    <w:p>
      <w:pPr>
        <w:pStyle w:val="OEM"/>
        <w:spacing w:before="57" w:after="0"/>
        <w:rPr>
          <w:rFonts w:ascii="Times New Roman" w:hAnsi="Times New Roman"/>
          <w:sz w:val="20"/>
          <w:szCs w:val="20"/>
        </w:rPr>
      </w:pPr>
      <w:r>
        <w:rPr>
          <w:rFonts w:ascii="Times New Roman" w:hAnsi="Times New Roman"/>
          <w:sz w:val="20"/>
          <w:szCs w:val="20"/>
        </w:rPr>
        <w:t>4.7. Застрахованное лицо вправе в любое время определить или изменить перечень лиц, которым в случае его смерти может быть произведена выплата средств пенсионных накоплений, путем подачи заявления о распределении средств пенсионных накоплений. Указанное заявление является неотъемлемой частью настоящего договора.</w:t>
      </w:r>
    </w:p>
    <w:p>
      <w:pPr>
        <w:pStyle w:val="OEM"/>
        <w:rPr>
          <w:rFonts w:ascii="Times New Roman" w:hAnsi="Times New Roman"/>
          <w:sz w:val="20"/>
          <w:szCs w:val="20"/>
        </w:rPr>
      </w:pPr>
      <w:r>
        <w:rPr>
          <w:rFonts w:ascii="Times New Roman" w:hAnsi="Times New Roman"/>
          <w:sz w:val="20"/>
          <w:szCs w:val="20"/>
        </w:rPr>
        <w:t>4.8. Выплата средств пенсионных накоплений правопреемникам осуществляется в соответствии со статьей 36.21 Федерального закона "О негосударственных пенсионных фондах" и постановлением Правительства Российской Федерации от 30 июля 2014 года N 710 "Об утверждении Правил выплаты негосударственным пенсионным фондом, осуществляющим обязательное пенсионное страхование, правопреемникам умерших застрахованных лиц средств пенсионных накоплений, учтенных на пенсионных счетах накопительной пенсии" (Собрание законодательства Российской Федерации, 2014, N 32, ст. 4483; 2015, N 6, ст. 975), а также страховыми правилами Фонда.</w:t>
      </w:r>
    </w:p>
    <w:p>
      <w:pPr>
        <w:pStyle w:val="OEM"/>
        <w:jc w:val="center"/>
        <w:rPr>
          <w:rFonts w:ascii="Times New Roman" w:hAnsi="Times New Roman"/>
          <w:b/>
          <w:color w:val="26282F"/>
          <w:sz w:val="20"/>
          <w:szCs w:val="20"/>
        </w:rPr>
      </w:pPr>
      <w:r>
        <w:rPr>
          <w:rFonts w:ascii="Times New Roman" w:hAnsi="Times New Roman"/>
          <w:b/>
          <w:color w:val="26282F"/>
          <w:sz w:val="20"/>
          <w:szCs w:val="20"/>
        </w:rPr>
        <w:t>V. Доставка накопительной пенсии, срочной пенсионной выплаты,</w:t>
        <w:br/>
        <w:t>единовременной выплаты и порядок оплаты расходов, связанных с доставкой</w:t>
      </w:r>
    </w:p>
    <w:p>
      <w:pPr>
        <w:pStyle w:val="OEM"/>
        <w:rPr>
          <w:rFonts w:ascii="Times New Roman" w:hAnsi="Times New Roman"/>
          <w:sz w:val="20"/>
          <w:szCs w:val="20"/>
        </w:rPr>
      </w:pPr>
      <w:r>
        <w:rPr>
          <w:rFonts w:ascii="Times New Roman" w:hAnsi="Times New Roman"/>
          <w:sz w:val="20"/>
          <w:szCs w:val="20"/>
        </w:rPr>
        <w:t>5.1. Доставка накопительной пенсии и (или) срочной пенсионной выплаты или единовременной выплаты по выбору застрахованного лица осуществляется одним из следующих способов:</w:t>
      </w:r>
    </w:p>
    <w:p>
      <w:pPr>
        <w:pStyle w:val="OEM"/>
        <w:rPr>
          <w:rFonts w:ascii="Times New Roman" w:hAnsi="Times New Roman"/>
          <w:sz w:val="20"/>
          <w:szCs w:val="20"/>
        </w:rPr>
      </w:pPr>
      <w:r>
        <w:rPr>
          <w:rFonts w:ascii="Times New Roman" w:hAnsi="Times New Roman"/>
          <w:sz w:val="20"/>
          <w:szCs w:val="20"/>
        </w:rPr>
        <w:t>а) через организацию почтовой связи;</w:t>
      </w:r>
    </w:p>
    <w:p>
      <w:pPr>
        <w:pStyle w:val="OEM"/>
        <w:rPr>
          <w:rFonts w:ascii="Times New Roman" w:hAnsi="Times New Roman"/>
          <w:sz w:val="20"/>
          <w:szCs w:val="20"/>
        </w:rPr>
      </w:pPr>
      <w:r>
        <w:rPr>
          <w:rFonts w:ascii="Times New Roman" w:hAnsi="Times New Roman"/>
          <w:sz w:val="20"/>
          <w:szCs w:val="20"/>
        </w:rPr>
        <w:t>б) через кредитную организацию путем зачисления сумм накопительной пенсии и (или) срочной пенсионной выплаты или единовременной выплаты на счет застрахованного лица в этой кредитной организации.</w:t>
      </w:r>
    </w:p>
    <w:p>
      <w:pPr>
        <w:pStyle w:val="OEM"/>
        <w:rPr>
          <w:rFonts w:ascii="Times New Roman" w:hAnsi="Times New Roman"/>
          <w:sz w:val="20"/>
          <w:szCs w:val="20"/>
        </w:rPr>
      </w:pPr>
      <w:r>
        <w:rPr>
          <w:rFonts w:ascii="Times New Roman" w:hAnsi="Times New Roman"/>
          <w:sz w:val="20"/>
          <w:szCs w:val="20"/>
        </w:rPr>
        <w:t>5.2. Доставка накопительной пенсии и (или) срочной пенсионной выплаты производится за текущий месяц. Единовременная выплата производится Фондом в срок, не превышающий одного месяца со дня принятия решения об осуществлении единовременной выплаты.</w:t>
      </w:r>
    </w:p>
    <w:p>
      <w:pPr>
        <w:pStyle w:val="OEM"/>
        <w:rPr>
          <w:rFonts w:ascii="Times New Roman" w:hAnsi="Times New Roman"/>
          <w:sz w:val="20"/>
          <w:szCs w:val="20"/>
        </w:rPr>
      </w:pPr>
      <w:r>
        <w:rPr>
          <w:rFonts w:ascii="Times New Roman" w:hAnsi="Times New Roman"/>
          <w:sz w:val="20"/>
          <w:szCs w:val="20"/>
        </w:rPr>
        <w:t>5.3. Оплата расходов, связанных с доставкой накопительной пенсии, производится за счет средств резерва Фонда по обязательному пенсионному страхованию. Оплата расходов, связанных с осуществлением срочной пенсионной выплаты, единовременной выплаты, производится за счет собственных средств Фонда.</w:t>
      </w:r>
    </w:p>
    <w:p>
      <w:pPr>
        <w:pStyle w:val="OEM"/>
        <w:jc w:val="center"/>
        <w:rPr>
          <w:rFonts w:ascii="Times New Roman" w:hAnsi="Times New Roman"/>
          <w:b/>
          <w:color w:val="26282F"/>
          <w:sz w:val="20"/>
          <w:szCs w:val="20"/>
        </w:rPr>
      </w:pPr>
      <w:r>
        <w:rPr>
          <w:rFonts w:ascii="Times New Roman" w:hAnsi="Times New Roman"/>
          <w:b/>
          <w:color w:val="26282F"/>
          <w:sz w:val="20"/>
          <w:szCs w:val="20"/>
        </w:rPr>
        <w:t>VI. Ответственность сторон</w:t>
      </w:r>
    </w:p>
    <w:p>
      <w:pPr>
        <w:pStyle w:val="OEM"/>
        <w:rPr>
          <w:rFonts w:ascii="Times New Roman" w:hAnsi="Times New Roman"/>
          <w:sz w:val="20"/>
          <w:szCs w:val="20"/>
        </w:rPr>
      </w:pPr>
      <w:r>
        <w:rPr>
          <w:rFonts w:ascii="Times New Roman" w:hAnsi="Times New Roman"/>
          <w:sz w:val="20"/>
          <w:szCs w:val="20"/>
        </w:rPr>
        <w:t>6.1. За неисполнение или ненадлежащее исполнение своих обязательств, предусмотренных настоящим договором, стороны несут ответственность в соответствии с законодательством Российской Федерации.</w:t>
      </w:r>
    </w:p>
    <w:p>
      <w:pPr>
        <w:pStyle w:val="OEM"/>
        <w:jc w:val="center"/>
        <w:rPr>
          <w:rFonts w:ascii="Times New Roman" w:hAnsi="Times New Roman"/>
          <w:b/>
          <w:color w:val="26282F"/>
          <w:sz w:val="20"/>
          <w:szCs w:val="20"/>
        </w:rPr>
      </w:pPr>
      <w:r>
        <w:rPr>
          <w:rFonts w:ascii="Times New Roman" w:hAnsi="Times New Roman"/>
          <w:b/>
          <w:color w:val="26282F"/>
          <w:sz w:val="20"/>
          <w:szCs w:val="20"/>
        </w:rPr>
        <w:t>VII. Изменение и прекращение договора</w:t>
      </w:r>
    </w:p>
    <w:p>
      <w:pPr>
        <w:pStyle w:val="OEM"/>
        <w:rPr>
          <w:rFonts w:ascii="Times New Roman" w:hAnsi="Times New Roman"/>
          <w:sz w:val="20"/>
          <w:szCs w:val="20"/>
        </w:rPr>
      </w:pPr>
      <w:r>
        <w:rPr>
          <w:rFonts w:ascii="Times New Roman" w:hAnsi="Times New Roman"/>
          <w:sz w:val="20"/>
          <w:szCs w:val="20"/>
        </w:rPr>
        <w:t>7.1. Внесение в настоящий договор и приложения к нему изменений в связи с изменениями законодательства Российской Федерации о негосударственных пенсионных фондах, о накопительной пенсии и об инвестировании средств пенсионных накоплений для финансирования накопительной пенсии (далее - изменения пенсионного законодательства Российской Федерации) осуществляется фондом в одностороннем порядке путем направления застрахованному лицу уведомления о внесении в договор и приложения к нему изменений в связи с изменениями пенсионного законодательства Российской Федерации (далее - уведомление) в течение одного месяца со дня вступления в силу изменений пенсионного законодательства Российской Федерации.</w:t>
      </w:r>
    </w:p>
    <w:p>
      <w:pPr>
        <w:pStyle w:val="OEM"/>
        <w:rPr>
          <w:rFonts w:ascii="Times New Roman" w:hAnsi="Times New Roman"/>
          <w:sz w:val="20"/>
          <w:szCs w:val="20"/>
        </w:rPr>
      </w:pPr>
      <w:r>
        <w:rPr>
          <w:rFonts w:ascii="Times New Roman" w:hAnsi="Times New Roman"/>
          <w:sz w:val="20"/>
          <w:szCs w:val="20"/>
        </w:rPr>
        <w:t>Уведомление направляется застрахованному лицу по электронной почте, а также в "Личный кабинет застрахованного лица" на официальном сайте фонда в информационно-телекоммуникационной сети "Интернет", электронный адрес которого включает доменное имя, права на которое принадлежат фонду. В течение десяти дней со дня вступления в силу изменений пенсионного законодательства Российской Федерации фонд размещает на своем официальном сайте в информационно-телекоммуникационной сети "Интернет" информацию об изменениях пенсионного законодательства Российской Федерации.</w:t>
      </w:r>
    </w:p>
    <w:p>
      <w:pPr>
        <w:pStyle w:val="OEM"/>
        <w:rPr>
          <w:rFonts w:ascii="Times New Roman" w:hAnsi="Times New Roman"/>
          <w:sz w:val="20"/>
          <w:szCs w:val="20"/>
        </w:rPr>
      </w:pPr>
      <w:r>
        <w:rPr>
          <w:rFonts w:ascii="Times New Roman" w:hAnsi="Times New Roman"/>
          <w:sz w:val="20"/>
          <w:szCs w:val="20"/>
        </w:rPr>
        <w:t>Внесенные в настоящий договор изменения вступают в силу для сторон со дня вступления в силу изменений пенсионного законодательства Российской Федерации.</w:t>
      </w:r>
    </w:p>
    <w:p>
      <w:pPr>
        <w:pStyle w:val="OEM"/>
        <w:rPr>
          <w:rFonts w:ascii="Times New Roman" w:hAnsi="Times New Roman"/>
          <w:sz w:val="20"/>
          <w:szCs w:val="20"/>
        </w:rPr>
      </w:pPr>
      <w:r>
        <w:rPr>
          <w:rFonts w:ascii="Times New Roman" w:hAnsi="Times New Roman"/>
          <w:sz w:val="20"/>
          <w:szCs w:val="20"/>
        </w:rPr>
        <w:t>7.2. Фонд не вправе в одностороннем порядке расторгнуть настоящий договор.</w:t>
      </w:r>
    </w:p>
    <w:p>
      <w:pPr>
        <w:pStyle w:val="OEM"/>
        <w:rPr>
          <w:rFonts w:ascii="Times New Roman" w:hAnsi="Times New Roman"/>
          <w:sz w:val="20"/>
          <w:szCs w:val="20"/>
        </w:rPr>
      </w:pPr>
      <w:r>
        <w:rPr>
          <w:rFonts w:ascii="Times New Roman" w:hAnsi="Times New Roman"/>
          <w:sz w:val="20"/>
          <w:szCs w:val="20"/>
        </w:rPr>
        <w:t>7.3. Настоящий договор прекращается в случае наступления одного из следующих событий в зависимости от того, какое из них наступило ранее:</w:t>
      </w:r>
    </w:p>
    <w:p>
      <w:pPr>
        <w:pStyle w:val="OEM"/>
        <w:rPr>
          <w:rFonts w:ascii="Times New Roman" w:hAnsi="Times New Roman"/>
          <w:sz w:val="20"/>
          <w:szCs w:val="20"/>
        </w:rPr>
      </w:pPr>
      <w:r>
        <w:rPr>
          <w:rFonts w:ascii="Times New Roman" w:hAnsi="Times New Roman"/>
          <w:sz w:val="20"/>
          <w:szCs w:val="20"/>
        </w:rPr>
        <w:t>а) внесение Фондом пенсионного и социального страхования Российской Федерации изменений в единый реестр застрахованных лиц в связи с заключением застрахованным лицом нового договора об обязательном</w:t>
      </w:r>
    </w:p>
    <w:p>
      <w:pPr>
        <w:pStyle w:val="OEM"/>
        <w:rPr>
          <w:rFonts w:ascii="Times New Roman" w:hAnsi="Times New Roman"/>
          <w:sz w:val="20"/>
          <w:szCs w:val="20"/>
        </w:rPr>
      </w:pPr>
      <w:r>
        <w:rPr>
          <w:rFonts w:ascii="Times New Roman" w:hAnsi="Times New Roman"/>
          <w:sz w:val="20"/>
          <w:szCs w:val="20"/>
        </w:rPr>
        <w:t>пенсионном страховании;</w:t>
      </w:r>
    </w:p>
    <w:p>
      <w:pPr>
        <w:pStyle w:val="OEM"/>
        <w:rPr>
          <w:rFonts w:ascii="Times New Roman" w:hAnsi="Times New Roman"/>
          <w:sz w:val="20"/>
          <w:szCs w:val="20"/>
        </w:rPr>
      </w:pPr>
      <w:r>
        <w:rPr>
          <w:rFonts w:ascii="Times New Roman" w:hAnsi="Times New Roman"/>
          <w:sz w:val="20"/>
          <w:szCs w:val="20"/>
        </w:rPr>
        <w:t>б) внесение Фондом пенсионного и социального страхования Российской Федерации изменений в единый реестр застрахованных лиц в связи с удовлетворением заявления застрахованного лица о переходе в Фонд</w:t>
      </w:r>
    </w:p>
    <w:p>
      <w:pPr>
        <w:pStyle w:val="OEM"/>
        <w:rPr>
          <w:rFonts w:ascii="Times New Roman" w:hAnsi="Times New Roman"/>
          <w:sz w:val="20"/>
          <w:szCs w:val="20"/>
        </w:rPr>
      </w:pPr>
      <w:r>
        <w:rPr>
          <w:rFonts w:ascii="Times New Roman" w:hAnsi="Times New Roman"/>
          <w:sz w:val="20"/>
          <w:szCs w:val="20"/>
        </w:rPr>
        <w:t>пенсионного и социального страхования Российской Федерации;</w:t>
      </w:r>
    </w:p>
    <w:p>
      <w:pPr>
        <w:pStyle w:val="OEM"/>
        <w:rPr>
          <w:rFonts w:ascii="Times New Roman" w:hAnsi="Times New Roman"/>
          <w:sz w:val="20"/>
          <w:szCs w:val="20"/>
        </w:rPr>
      </w:pPr>
      <w:r>
        <w:rPr>
          <w:rFonts w:ascii="Times New Roman" w:hAnsi="Times New Roman"/>
          <w:sz w:val="20"/>
          <w:szCs w:val="20"/>
        </w:rPr>
        <w:t>в) аннулирование у фонда лицензии на осуществление деятельности по пенсионному обеспечению и пенсионному страхованию;</w:t>
      </w:r>
    </w:p>
    <w:p>
      <w:pPr>
        <w:pStyle w:val="OEM"/>
        <w:rPr>
          <w:rFonts w:ascii="Times New Roman" w:hAnsi="Times New Roman"/>
          <w:sz w:val="20"/>
          <w:szCs w:val="20"/>
        </w:rPr>
      </w:pPr>
      <w:r>
        <w:rPr>
          <w:rFonts w:ascii="Times New Roman" w:hAnsi="Times New Roman"/>
          <w:sz w:val="20"/>
          <w:szCs w:val="20"/>
        </w:rPr>
        <w:t>г) смерть застрахованного лица;</w:t>
      </w:r>
    </w:p>
    <w:p>
      <w:pPr>
        <w:pStyle w:val="OEM"/>
        <w:rPr>
          <w:rFonts w:ascii="Times New Roman" w:hAnsi="Times New Roman"/>
          <w:sz w:val="20"/>
          <w:szCs w:val="20"/>
        </w:rPr>
      </w:pPr>
      <w:bookmarkStart w:id="0" w:name="anchor1735_Копия_1"/>
      <w:bookmarkEnd w:id="0"/>
      <w:r>
        <w:rPr>
          <w:rFonts w:ascii="Times New Roman" w:hAnsi="Times New Roman"/>
          <w:sz w:val="20"/>
          <w:szCs w:val="20"/>
        </w:rPr>
        <w:t>д) принятие арбитражным судом решения о признании фонда банкротом и об открытии конкурсного производства;</w:t>
      </w:r>
    </w:p>
    <w:p>
      <w:pPr>
        <w:pStyle w:val="OEM"/>
        <w:rPr>
          <w:rFonts w:ascii="Times New Roman" w:hAnsi="Times New Roman"/>
          <w:sz w:val="20"/>
          <w:szCs w:val="20"/>
        </w:rPr>
      </w:pPr>
      <w:r>
        <w:rPr>
          <w:rFonts w:ascii="Times New Roman" w:hAnsi="Times New Roman"/>
          <w:sz w:val="20"/>
          <w:szCs w:val="20"/>
        </w:rPr>
        <w:t>е</w:t>
      </w:r>
      <w:r>
        <w:rPr>
          <w:rFonts w:ascii="Times New Roman" w:hAnsi="Times New Roman"/>
          <w:sz w:val="20"/>
          <w:szCs w:val="20"/>
        </w:rPr>
        <w:t>) введение Банком России запрета на осуществление операций фонда по обязательному пенсионному страхованию в соответствии со статьей 22 Федерального закона "О гарантировании прав застрахованных лиц в системе обязательного пенсионного страхования Российской Федерации при формировании и инвестировании средств пенсионных накоплений, установлении и осуществлении выплат за счет средств пенсионных накоплений";</w:t>
      </w:r>
    </w:p>
    <w:p>
      <w:pPr>
        <w:pStyle w:val="Style16"/>
        <w:bidi w:val="0"/>
        <w:jc w:val="both"/>
        <w:rPr>
          <w:rFonts w:ascii="Times New Roman" w:hAnsi="Times New Roman"/>
          <w:sz w:val="20"/>
          <w:szCs w:val="20"/>
        </w:rPr>
      </w:pPr>
      <w:r>
        <w:rPr>
          <w:rFonts w:ascii="Times New Roman" w:hAnsi="Times New Roman"/>
          <w:sz w:val="20"/>
          <w:szCs w:val="20"/>
        </w:rPr>
        <w:t>ж</w:t>
      </w:r>
      <w:r>
        <w:rPr>
          <w:rFonts w:ascii="Times New Roman" w:hAnsi="Times New Roman"/>
          <w:sz w:val="20"/>
          <w:szCs w:val="20"/>
        </w:rPr>
        <w:t>) внесение в соответствии со статьей 36</w:t>
      </w:r>
      <w:r>
        <w:rPr>
          <w:rFonts w:ascii="Times New Roman" w:hAnsi="Times New Roman"/>
          <w:sz w:val="20"/>
          <w:szCs w:val="20"/>
          <w:vertAlign w:val="superscript"/>
        </w:rPr>
        <w:t> 12-1</w:t>
      </w:r>
      <w:r>
        <w:rPr>
          <w:rFonts w:ascii="Times New Roman" w:hAnsi="Times New Roman"/>
          <w:sz w:val="20"/>
          <w:szCs w:val="20"/>
        </w:rPr>
        <w:t xml:space="preserve"> Федерального закона "О негосударственных пенсионных фондах" Фондом пенсионного и социального страхования Российской Федерации изменений в единый реестр застрахованных лиц сведений о прекращении формирования накопительной пенсии застрахованного лица.</w:t>
      </w:r>
    </w:p>
    <w:p>
      <w:pPr>
        <w:pStyle w:val="OEM"/>
        <w:jc w:val="center"/>
        <w:rPr>
          <w:rFonts w:ascii="Times New Roman" w:hAnsi="Times New Roman"/>
          <w:b/>
          <w:color w:val="26282F"/>
          <w:sz w:val="20"/>
          <w:szCs w:val="20"/>
        </w:rPr>
      </w:pPr>
      <w:r>
        <w:rPr>
          <w:rFonts w:ascii="Times New Roman" w:hAnsi="Times New Roman"/>
          <w:b/>
          <w:color w:val="26282F"/>
          <w:sz w:val="20"/>
          <w:szCs w:val="20"/>
        </w:rPr>
        <w:t>VIII. Порядок урегулирования споров</w:t>
      </w:r>
    </w:p>
    <w:p>
      <w:pPr>
        <w:pStyle w:val="OEM"/>
        <w:rPr>
          <w:rFonts w:ascii="Times New Roman" w:hAnsi="Times New Roman"/>
          <w:sz w:val="20"/>
          <w:szCs w:val="20"/>
        </w:rPr>
      </w:pPr>
      <w:r>
        <w:rPr>
          <w:rFonts w:ascii="Times New Roman" w:hAnsi="Times New Roman"/>
          <w:sz w:val="20"/>
          <w:szCs w:val="20"/>
        </w:rPr>
        <w:t>8.1. Споры, связанные с исполнением настоящего договора, разрешаются в судебном порядке в соответствии с законодательством Российской Федерации.</w:t>
      </w:r>
    </w:p>
    <w:p>
      <w:pPr>
        <w:pStyle w:val="OEM"/>
        <w:jc w:val="center"/>
        <w:rPr>
          <w:rFonts w:ascii="Times New Roman" w:hAnsi="Times New Roman"/>
          <w:b/>
          <w:color w:val="26282F"/>
          <w:sz w:val="20"/>
          <w:szCs w:val="20"/>
        </w:rPr>
      </w:pPr>
      <w:r>
        <w:rPr>
          <w:rFonts w:ascii="Times New Roman" w:hAnsi="Times New Roman"/>
          <w:b/>
          <w:color w:val="26282F"/>
          <w:sz w:val="20"/>
          <w:szCs w:val="20"/>
        </w:rPr>
        <w:t>IX. Срок действия договора</w:t>
      </w:r>
    </w:p>
    <w:p>
      <w:pPr>
        <w:pStyle w:val="OEM"/>
        <w:rPr>
          <w:rFonts w:ascii="Times New Roman" w:hAnsi="Times New Roman"/>
          <w:sz w:val="20"/>
          <w:szCs w:val="20"/>
        </w:rPr>
      </w:pPr>
      <w:r>
        <w:rPr>
          <w:rFonts w:ascii="Times New Roman" w:hAnsi="Times New Roman"/>
          <w:sz w:val="20"/>
          <w:szCs w:val="20"/>
        </w:rPr>
        <w:t>9.1. Настоящий договор вступает в силу со дня зачисления на счет Фонда средств пенсионных накоплений, переданных предыдущим страховщиком.</w:t>
      </w:r>
    </w:p>
    <w:p>
      <w:pPr>
        <w:pStyle w:val="OEM"/>
        <w:rPr>
          <w:rFonts w:ascii="Times New Roman" w:hAnsi="Times New Roman"/>
          <w:sz w:val="20"/>
          <w:szCs w:val="20"/>
        </w:rPr>
      </w:pPr>
      <w:r>
        <w:rPr>
          <w:rFonts w:ascii="Times New Roman" w:hAnsi="Times New Roman"/>
          <w:sz w:val="20"/>
          <w:szCs w:val="20"/>
        </w:rPr>
        <w:t>9.2. Настоящий договор заключен на неопределенный срок.</w:t>
      </w:r>
    </w:p>
    <w:p>
      <w:pPr>
        <w:pStyle w:val="OEM"/>
        <w:jc w:val="center"/>
        <w:rPr>
          <w:rFonts w:ascii="Times New Roman" w:hAnsi="Times New Roman"/>
          <w:b/>
          <w:color w:val="26282F"/>
          <w:sz w:val="20"/>
          <w:szCs w:val="20"/>
        </w:rPr>
      </w:pPr>
      <w:r>
        <w:rPr>
          <w:rFonts w:ascii="Times New Roman" w:hAnsi="Times New Roman"/>
          <w:b/>
          <w:color w:val="26282F"/>
          <w:sz w:val="20"/>
          <w:szCs w:val="20"/>
        </w:rPr>
        <w:t>X. Заключительные положения</w:t>
      </w:r>
    </w:p>
    <w:p>
      <w:pPr>
        <w:pStyle w:val="OEM"/>
        <w:rPr>
          <w:rFonts w:ascii="Times New Roman" w:hAnsi="Times New Roman"/>
          <w:sz w:val="20"/>
          <w:szCs w:val="20"/>
        </w:rPr>
      </w:pPr>
      <w:r>
        <w:rPr>
          <w:rFonts w:ascii="Times New Roman" w:hAnsi="Times New Roman"/>
          <w:sz w:val="20"/>
          <w:szCs w:val="20"/>
        </w:rPr>
        <w:t xml:space="preserve">10.1. Со страховыми правилами фонда, а также правилами определения размера средств пенсионных накоплений, подлежащих передаче в фонд при переходе (досрочном переходе) застрахованного лица в фонд из Фонда пенсионного и социального страхования Российской Федерации или из другого негосударственного пенсионного фонда, в соответствии со статьей 36.6-1 Федерального закона "О негосударственных пенсионных фондах" застрахованное лицо ознакомлено: </w:t>
      </w:r>
    </w:p>
    <w:p>
      <w:pPr>
        <w:pStyle w:val="OEM"/>
        <w:jc w:val="center"/>
        <w:rPr>
          <w:rFonts w:ascii="Times New Roman" w:hAnsi="Times New Roman"/>
          <w:sz w:val="20"/>
          <w:szCs w:val="20"/>
        </w:rPr>
      </w:pPr>
      <w:r>
        <w:rPr>
          <w:rFonts w:ascii="Times New Roman" w:hAnsi="Times New Roman"/>
          <w:b/>
          <w:bCs/>
          <w:i/>
          <w:iCs/>
          <w:color w:val="1C006C"/>
          <w:sz w:val="20"/>
          <w:szCs w:val="20"/>
        </w:rPr>
        <w:t>Масленников Евгений Владиславович</w:t>
      </w:r>
      <w:r>
        <w:rPr>
          <w:rFonts w:ascii="Times New Roman" w:hAnsi="Times New Roman"/>
          <w:sz w:val="20"/>
          <w:szCs w:val="20"/>
        </w:rPr>
        <w:t xml:space="preserve"> </w:t>
      </w:r>
      <w:r>
        <w:rPr>
          <w:rFonts w:ascii="Times New Roman" w:hAnsi="Times New Roman"/>
          <w:sz w:val="20"/>
          <w:szCs w:val="20"/>
          <w:u w:val="single"/>
        </w:rPr>
        <w:t xml:space="preserve">                                            </w:t>
      </w:r>
      <w:r>
        <w:rPr>
          <w:rFonts w:ascii="Times New Roman" w:hAnsi="Times New Roman"/>
          <w:sz w:val="20"/>
          <w:szCs w:val="20"/>
        </w:rPr>
        <w:t>.</w:t>
      </w:r>
    </w:p>
    <w:p>
      <w:pPr>
        <w:pStyle w:val="OEM"/>
        <w:jc w:val="start"/>
        <w:rPr>
          <w:rFonts w:ascii="Times New Roman" w:hAnsi="Times New Roman"/>
          <w:sz w:val="18"/>
          <w:szCs w:val="18"/>
        </w:rPr>
      </w:pPr>
      <w:r>
        <w:rPr>
          <w:rFonts w:ascii="Times New Roman" w:hAnsi="Times New Roman"/>
          <w:sz w:val="18"/>
          <w:szCs w:val="18"/>
        </w:rPr>
        <w:t xml:space="preserve">                                                                                                                                       </w:t>
      </w:r>
      <w:r>
        <w:rPr>
          <w:rFonts w:ascii="Times New Roman" w:hAnsi="Times New Roman"/>
          <w:sz w:val="18"/>
          <w:szCs w:val="18"/>
        </w:rPr>
        <w:t>(подпись)</w:t>
      </w:r>
    </w:p>
    <w:p>
      <w:pPr>
        <w:pStyle w:val="OEM"/>
        <w:jc w:val="center"/>
        <w:rPr>
          <w:rFonts w:ascii="Times New Roman" w:hAnsi="Times New Roman"/>
          <w:b/>
          <w:color w:val="26282F"/>
          <w:sz w:val="20"/>
          <w:szCs w:val="20"/>
        </w:rPr>
      </w:pPr>
      <w:r>
        <w:rPr>
          <w:rFonts w:ascii="Times New Roman" w:hAnsi="Times New Roman"/>
          <w:b/>
          <w:color w:val="26282F"/>
          <w:sz w:val="20"/>
          <w:szCs w:val="20"/>
        </w:rPr>
        <w:t>XI. Реквизиты и подписи сторон</w:t>
      </w:r>
    </w:p>
    <w:tbl>
      <w:tblPr>
        <w:tblW w:w="9635" w:type="dxa"/>
        <w:jc w:val="start"/>
        <w:tblInd w:w="0" w:type="dxa"/>
        <w:tblLayout w:type="fixed"/>
        <w:tblCellMar>
          <w:top w:w="0" w:type="dxa"/>
          <w:start w:w="0" w:type="dxa"/>
          <w:bottom w:w="0" w:type="dxa"/>
          <w:end w:w="0" w:type="dxa"/>
        </w:tblCellMar>
      </w:tblPr>
      <w:tblGrid>
        <w:gridCol w:w="4700"/>
        <w:gridCol w:w="238"/>
        <w:gridCol w:w="4697"/>
      </w:tblGrid>
      <w:tr>
        <w:trPr/>
        <w:tc>
          <w:tcPr>
            <w:tcW w:w="4700" w:type="dxa"/>
            <w:tcBorders/>
          </w:tcPr>
          <w:p>
            <w:pPr>
              <w:pStyle w:val="OEM"/>
              <w:rPr>
                <w:rFonts w:ascii="Times New Roman" w:hAnsi="Times New Roman"/>
                <w:b/>
                <w:bCs/>
                <w:sz w:val="20"/>
                <w:szCs w:val="20"/>
              </w:rPr>
            </w:pPr>
            <w:r>
              <w:rPr>
                <w:rFonts w:ascii="Times New Roman" w:hAnsi="Times New Roman"/>
                <w:b/>
                <w:bCs/>
                <w:sz w:val="20"/>
                <w:szCs w:val="20"/>
              </w:rPr>
              <w:t>Негосударственный пенсионный фонд:</w:t>
            </w:r>
          </w:p>
        </w:tc>
        <w:tc>
          <w:tcPr>
            <w:tcW w:w="238" w:type="dxa"/>
            <w:tcBorders/>
          </w:tcPr>
          <w:p>
            <w:pPr>
              <w:pStyle w:val="OEM"/>
              <w:rPr>
                <w:rFonts w:ascii="Times New Roman" w:hAnsi="Times New Roman"/>
                <w:b/>
                <w:bCs/>
                <w:sz w:val="20"/>
                <w:szCs w:val="20"/>
              </w:rPr>
            </w:pPr>
            <w:r>
              <w:rPr>
                <w:rFonts w:ascii="Times New Roman" w:hAnsi="Times New Roman"/>
                <w:b/>
                <w:bCs/>
                <w:sz w:val="20"/>
                <w:szCs w:val="20"/>
              </w:rPr>
            </w:r>
          </w:p>
        </w:tc>
        <w:tc>
          <w:tcPr>
            <w:tcW w:w="4697" w:type="dxa"/>
            <w:tcBorders/>
          </w:tcPr>
          <w:p>
            <w:pPr>
              <w:pStyle w:val="Normal"/>
              <w:bidi w:val="0"/>
              <w:jc w:val="start"/>
              <w:rPr>
                <w:rFonts w:ascii="Times New Roman" w:hAnsi="Times New Roman"/>
                <w:b/>
                <w:bCs/>
                <w:sz w:val="20"/>
                <w:szCs w:val="20"/>
              </w:rPr>
            </w:pPr>
            <w:r>
              <w:rPr>
                <w:rFonts w:ascii="Times New Roman" w:hAnsi="Times New Roman"/>
                <w:b/>
                <w:bCs/>
                <w:sz w:val="20"/>
                <w:szCs w:val="20"/>
              </w:rPr>
              <w:t>Застрахованное лицо:</w:t>
            </w:r>
          </w:p>
        </w:tc>
      </w:tr>
      <w:tr>
        <w:trPr/>
        <w:tc>
          <w:tcPr>
            <w:tcW w:w="4700" w:type="dxa"/>
            <w:tcBorders/>
          </w:tcPr>
          <w:p>
            <w:pPr>
              <w:pStyle w:val="Style18"/>
              <w:bidi w:val="0"/>
              <w:jc w:val="start"/>
              <w:rPr>
                <w:rFonts w:ascii="Times New Roman" w:hAnsi="Times New Roman"/>
                <w:sz w:val="20"/>
                <w:szCs w:val="20"/>
              </w:rPr>
            </w:pPr>
            <w:r>
              <w:rPr>
                <w:rFonts w:ascii="Times New Roman" w:hAnsi="Times New Roman"/>
                <w:sz w:val="20"/>
                <w:szCs w:val="20"/>
              </w:rPr>
            </w:r>
          </w:p>
        </w:tc>
        <w:tc>
          <w:tcPr>
            <w:tcW w:w="238" w:type="dxa"/>
            <w:tcBorders/>
          </w:tcPr>
          <w:p>
            <w:pPr>
              <w:pStyle w:val="Style18"/>
              <w:bidi w:val="0"/>
              <w:jc w:val="start"/>
              <w:rPr>
                <w:rFonts w:ascii="Times New Roman" w:hAnsi="Times New Roman"/>
                <w:sz w:val="20"/>
                <w:szCs w:val="20"/>
              </w:rPr>
            </w:pPr>
            <w:r>
              <w:rPr>
                <w:rFonts w:ascii="Times New Roman" w:hAnsi="Times New Roman"/>
                <w:sz w:val="20"/>
                <w:szCs w:val="20"/>
              </w:rPr>
            </w:r>
          </w:p>
        </w:tc>
        <w:tc>
          <w:tcPr>
            <w:tcW w:w="4697" w:type="dxa"/>
            <w:tcBorders/>
          </w:tcPr>
          <w:p>
            <w:pPr>
              <w:pStyle w:val="Style18"/>
              <w:bidi w:val="0"/>
              <w:jc w:val="start"/>
              <w:rPr>
                <w:rFonts w:ascii="Times New Roman" w:hAnsi="Times New Roman"/>
                <w:sz w:val="20"/>
                <w:szCs w:val="20"/>
              </w:rPr>
            </w:pPr>
            <w:r>
              <w:rPr>
                <w:rFonts w:ascii="Times New Roman" w:hAnsi="Times New Roman"/>
                <w:sz w:val="20"/>
                <w:szCs w:val="20"/>
              </w:rPr>
            </w:r>
          </w:p>
        </w:tc>
      </w:tr>
      <w:tr>
        <w:trPr/>
        <w:tc>
          <w:tcPr>
            <w:tcW w:w="4700" w:type="dxa"/>
            <w:tcBorders/>
          </w:tcPr>
          <w:tbl>
            <w:tblPr>
              <w:tblW w:w="5000" w:type="pct"/>
              <w:jc w:val="start"/>
              <w:tblInd w:w="0" w:type="dxa"/>
              <w:tblLayout w:type="fixed"/>
              <w:tblCellMar>
                <w:top w:w="0" w:type="dxa"/>
                <w:start w:w="0" w:type="dxa"/>
                <w:bottom w:w="0" w:type="dxa"/>
                <w:end w:w="0" w:type="dxa"/>
              </w:tblCellMar>
            </w:tblPr>
            <w:tblGrid>
              <w:gridCol w:w="4700"/>
            </w:tblGrid>
            <w:tr>
              <w:trPr/>
              <w:tc>
                <w:tcPr>
                  <w:tcW w:w="4700" w:type="dxa"/>
                  <w:tcBorders/>
                </w:tcPr>
                <w:p>
                  <w:pPr>
                    <w:pStyle w:val="Style18"/>
                    <w:bidi w:val="0"/>
                    <w:jc w:val="center"/>
                    <w:rPr>
                      <w:rFonts w:ascii="Times New Roman" w:hAnsi="Times New Roman"/>
                      <w:sz w:val="20"/>
                      <w:szCs w:val="20"/>
                    </w:rPr>
                  </w:pPr>
                  <w:r>
                    <w:rPr>
                      <w:rFonts w:ascii="Times New Roman" w:hAnsi="Times New Roman"/>
                      <w:sz w:val="20"/>
                      <w:szCs w:val="20"/>
                    </w:rPr>
                    <w:t>АКЦИОНЕРНОЕ ОБЩЕСТВО "НЕГОСУДАРСТВЕННЫЙ ПЕНСИОННЫЙ ФОНД "БЛАГОСОСТОЯНИЕ"</w:t>
                  </w:r>
                </w:p>
                <w:p>
                  <w:pPr>
                    <w:pStyle w:val="Style18"/>
                    <w:bidi w:val="0"/>
                    <w:jc w:val="center"/>
                    <w:rPr>
                      <w:rFonts w:ascii="Times New Roman" w:hAnsi="Times New Roman"/>
                      <w:sz w:val="20"/>
                      <w:szCs w:val="20"/>
                    </w:rPr>
                  </w:pPr>
                  <w:r>
                    <w:rPr>
                      <w:rFonts w:ascii="Times New Roman" w:hAnsi="Times New Roman"/>
                      <w:sz w:val="20"/>
                      <w:szCs w:val="20"/>
                    </w:rPr>
                    <w:t>(АО "НПФ "БЛАГОСОСТОЯНИЕ")</w:t>
                  </w:r>
                </w:p>
              </w:tc>
            </w:tr>
            <w:tr>
              <w:trPr/>
              <w:tc>
                <w:tcPr>
                  <w:tcW w:w="4700" w:type="dxa"/>
                  <w:tcBorders/>
                </w:tcPr>
                <w:p>
                  <w:pPr>
                    <w:pStyle w:val="Style18"/>
                    <w:bidi w:val="0"/>
                    <w:jc w:val="center"/>
                    <w:rPr>
                      <w:rFonts w:ascii="Times New Roman" w:hAnsi="Times New Roman"/>
                      <w:sz w:val="20"/>
                      <w:szCs w:val="20"/>
                    </w:rPr>
                  </w:pPr>
                  <w:r>
                    <w:rPr>
                      <w:rFonts w:ascii="Times New Roman" w:hAnsi="Times New Roman"/>
                      <w:sz w:val="20"/>
                      <w:szCs w:val="20"/>
                    </w:rPr>
                  </w:r>
                </w:p>
              </w:tc>
            </w:tr>
            <w:tr>
              <w:trPr/>
              <w:tc>
                <w:tcPr>
                  <w:tcW w:w="4700" w:type="dxa"/>
                  <w:tcBorders/>
                </w:tcPr>
                <w:p>
                  <w:pPr>
                    <w:pStyle w:val="Style18"/>
                    <w:bidi w:val="0"/>
                    <w:jc w:val="start"/>
                    <w:rPr>
                      <w:rFonts w:ascii="Times New Roman" w:hAnsi="Times New Roman"/>
                      <w:sz w:val="20"/>
                      <w:szCs w:val="20"/>
                    </w:rPr>
                  </w:pPr>
                  <w:r>
                    <w:rPr>
                      <w:rFonts w:ascii="Times New Roman" w:hAnsi="Times New Roman"/>
                      <w:sz w:val="20"/>
                      <w:szCs w:val="20"/>
                    </w:rPr>
                    <w:t>ОГРН 1187700022465</w:t>
                  </w:r>
                </w:p>
                <w:p>
                  <w:pPr>
                    <w:pStyle w:val="Style18"/>
                    <w:bidi w:val="0"/>
                    <w:jc w:val="start"/>
                    <w:rPr>
                      <w:rFonts w:ascii="Times New Roman" w:hAnsi="Times New Roman"/>
                      <w:sz w:val="20"/>
                      <w:szCs w:val="20"/>
                    </w:rPr>
                  </w:pPr>
                  <w:r>
                    <w:rPr>
                      <w:rFonts w:ascii="Times New Roman" w:hAnsi="Times New Roman"/>
                      <w:sz w:val="20"/>
                      <w:szCs w:val="20"/>
                    </w:rPr>
                    <w:t>ИНН 7707424367</w:t>
                  </w:r>
                </w:p>
              </w:tc>
            </w:tr>
            <w:tr>
              <w:trPr/>
              <w:tc>
                <w:tcPr>
                  <w:tcW w:w="4700" w:type="dxa"/>
                  <w:tcBorders/>
                </w:tcPr>
                <w:p>
                  <w:pPr>
                    <w:pStyle w:val="Style18"/>
                    <w:bidi w:val="0"/>
                    <w:jc w:val="center"/>
                    <w:rPr>
                      <w:rFonts w:ascii="Times New Roman" w:hAnsi="Times New Roman"/>
                      <w:sz w:val="20"/>
                      <w:szCs w:val="20"/>
                    </w:rPr>
                  </w:pPr>
                  <w:r>
                    <w:rPr>
                      <w:rFonts w:ascii="Times New Roman" w:hAnsi="Times New Roman"/>
                      <w:sz w:val="20"/>
                      <w:szCs w:val="20"/>
                    </w:rPr>
                  </w:r>
                </w:p>
              </w:tc>
            </w:tr>
            <w:tr>
              <w:trPr/>
              <w:tc>
                <w:tcPr>
                  <w:tcW w:w="4700" w:type="dxa"/>
                  <w:tcBorders/>
                </w:tcPr>
                <w:p>
                  <w:pPr>
                    <w:pStyle w:val="Style18"/>
                    <w:bidi w:val="0"/>
                    <w:jc w:val="start"/>
                    <w:rPr>
                      <w:rFonts w:ascii="Times New Roman" w:hAnsi="Times New Roman"/>
                      <w:sz w:val="20"/>
                      <w:szCs w:val="20"/>
                    </w:rPr>
                  </w:pPr>
                  <w:r>
                    <w:rPr>
                      <w:rFonts w:ascii="Times New Roman" w:hAnsi="Times New Roman"/>
                      <w:sz w:val="20"/>
                      <w:szCs w:val="20"/>
                    </w:rPr>
                    <w:t xml:space="preserve">Место нахождения и почтовый адрес: </w:t>
                  </w:r>
                </w:p>
                <w:p>
                  <w:pPr>
                    <w:pStyle w:val="Style18"/>
                    <w:bidi w:val="0"/>
                    <w:jc w:val="start"/>
                    <w:rPr>
                      <w:rFonts w:ascii="Times New Roman" w:hAnsi="Times New Roman"/>
                      <w:sz w:val="20"/>
                      <w:szCs w:val="20"/>
                    </w:rPr>
                  </w:pPr>
                  <w:r>
                    <w:rPr>
                      <w:rFonts w:ascii="Times New Roman" w:hAnsi="Times New Roman"/>
                      <w:sz w:val="20"/>
                      <w:szCs w:val="20"/>
                    </w:rPr>
                    <w:t>127006, Москва, ул. Малая Дмитровка, д.10</w:t>
                  </w:r>
                </w:p>
              </w:tc>
            </w:tr>
            <w:tr>
              <w:trPr/>
              <w:tc>
                <w:tcPr>
                  <w:tcW w:w="4700" w:type="dxa"/>
                  <w:tcBorders/>
                </w:tcPr>
                <w:p>
                  <w:pPr>
                    <w:pStyle w:val="Style18"/>
                    <w:bidi w:val="0"/>
                    <w:jc w:val="center"/>
                    <w:rPr>
                      <w:rFonts w:ascii="Times New Roman" w:hAnsi="Times New Roman"/>
                      <w:sz w:val="20"/>
                      <w:szCs w:val="20"/>
                    </w:rPr>
                  </w:pPr>
                  <w:r>
                    <w:rPr>
                      <w:rFonts w:ascii="Times New Roman" w:hAnsi="Times New Roman"/>
                      <w:sz w:val="20"/>
                      <w:szCs w:val="20"/>
                    </w:rPr>
                  </w:r>
                </w:p>
              </w:tc>
            </w:tr>
            <w:tr>
              <w:trPr/>
              <w:tc>
                <w:tcPr>
                  <w:tcW w:w="4700" w:type="dxa"/>
                  <w:tcBorders/>
                </w:tcPr>
                <w:p>
                  <w:pPr>
                    <w:pStyle w:val="Style18"/>
                    <w:bidi w:val="0"/>
                    <w:jc w:val="start"/>
                    <w:rPr>
                      <w:rFonts w:ascii="Times New Roman" w:hAnsi="Times New Roman"/>
                      <w:sz w:val="20"/>
                      <w:szCs w:val="20"/>
                    </w:rPr>
                  </w:pPr>
                  <w:r>
                    <w:rPr>
                      <w:rFonts w:ascii="Times New Roman" w:hAnsi="Times New Roman"/>
                      <w:sz w:val="20"/>
                      <w:szCs w:val="20"/>
                    </w:rPr>
                    <w:t>Единая справочная служба: 8 (800) 775 15 20</w:t>
                  </w:r>
                </w:p>
                <w:p>
                  <w:pPr>
                    <w:pStyle w:val="Style18"/>
                    <w:bidi w:val="0"/>
                    <w:jc w:val="start"/>
                    <w:rPr>
                      <w:rFonts w:ascii="Times New Roman" w:hAnsi="Times New Roman"/>
                      <w:sz w:val="20"/>
                      <w:szCs w:val="20"/>
                    </w:rPr>
                  </w:pPr>
                  <w:r>
                    <w:rPr>
                      <w:rFonts w:ascii="Times New Roman" w:hAnsi="Times New Roman"/>
                      <w:sz w:val="20"/>
                      <w:szCs w:val="20"/>
                    </w:rPr>
                    <w:t>Адрес электронной почты: npf@npfb.ru</w:t>
                  </w:r>
                </w:p>
              </w:tc>
            </w:tr>
          </w:tbl>
          <w:p>
            <w:pPr>
              <w:pStyle w:val="Style18"/>
              <w:bidi w:val="0"/>
              <w:jc w:val="center"/>
              <w:rPr>
                <w:rFonts w:ascii="Times New Roman" w:hAnsi="Times New Roman"/>
                <w:sz w:val="20"/>
                <w:szCs w:val="20"/>
              </w:rPr>
            </w:pPr>
            <w:r>
              <w:rPr>
                <w:rFonts w:ascii="Times New Roman" w:hAnsi="Times New Roman"/>
                <w:sz w:val="20"/>
                <w:szCs w:val="20"/>
              </w:rPr>
            </w:r>
          </w:p>
        </w:tc>
        <w:tc>
          <w:tcPr>
            <w:tcW w:w="238" w:type="dxa"/>
            <w:tcBorders/>
          </w:tcPr>
          <w:p>
            <w:pPr>
              <w:pStyle w:val="Style18"/>
              <w:bidi w:val="0"/>
              <w:jc w:val="center"/>
              <w:rPr>
                <w:rFonts w:ascii="Times New Roman" w:hAnsi="Times New Roman"/>
                <w:sz w:val="20"/>
                <w:szCs w:val="20"/>
              </w:rPr>
            </w:pPr>
            <w:r>
              <w:rPr>
                <w:rFonts w:ascii="Times New Roman" w:hAnsi="Times New Roman"/>
                <w:sz w:val="20"/>
                <w:szCs w:val="20"/>
              </w:rPr>
            </w:r>
          </w:p>
        </w:tc>
        <w:tc>
          <w:tcPr>
            <w:tcW w:w="4697" w:type="dxa"/>
            <w:tcBorders/>
          </w:tcPr>
          <w:tbl>
            <w:tblPr>
              <w:tblW w:w="5000" w:type="pct"/>
              <w:jc w:val="start"/>
              <w:tblInd w:w="0" w:type="dxa"/>
              <w:tblLayout w:type="fixed"/>
              <w:tblCellMar>
                <w:top w:w="0" w:type="dxa"/>
                <w:start w:w="0" w:type="dxa"/>
                <w:bottom w:w="0" w:type="dxa"/>
                <w:end w:w="0" w:type="dxa"/>
              </w:tblCellMar>
            </w:tblPr>
            <w:tblGrid>
              <w:gridCol w:w="4697"/>
            </w:tblGrid>
            <w:tr>
              <w:trPr/>
              <w:tc>
                <w:tcPr>
                  <w:tcW w:w="4697" w:type="dxa"/>
                  <w:tcBorders/>
                </w:tcPr>
                <w:p>
                  <w:pPr>
                    <w:pStyle w:val="Style18"/>
                    <w:bidi w:val="0"/>
                    <w:jc w:val="start"/>
                    <w:rPr>
                      <w:rFonts w:ascii="Times New Roman" w:hAnsi="Times New Roman"/>
                      <w:sz w:val="20"/>
                      <w:szCs w:val="20"/>
                    </w:rPr>
                  </w:pPr>
                  <w:r>
                    <w:rPr>
                      <w:rFonts w:ascii="Times New Roman" w:hAnsi="Times New Roman"/>
                      <w:sz w:val="20"/>
                      <w:szCs w:val="20"/>
                    </w:rPr>
                    <w:t>МАСЛЕННИКОВ ЕВГЕНИЙ ВЛАДИСЛАВОВИЧ</w:t>
                  </w:r>
                </w:p>
              </w:tc>
            </w:tr>
            <w:tr>
              <w:trPr/>
              <w:tc>
                <w:tcPr>
                  <w:tcW w:w="4697" w:type="dxa"/>
                  <w:tcBorders/>
                </w:tcPr>
                <w:p>
                  <w:pPr>
                    <w:pStyle w:val="Style18"/>
                    <w:bidi w:val="0"/>
                    <w:jc w:val="start"/>
                    <w:rPr>
                      <w:rFonts w:ascii="Times New Roman" w:hAnsi="Times New Roman"/>
                      <w:sz w:val="20"/>
                      <w:szCs w:val="20"/>
                    </w:rPr>
                  </w:pPr>
                  <w:r>
                    <w:rPr>
                      <w:rFonts w:ascii="Times New Roman" w:hAnsi="Times New Roman"/>
                      <w:sz w:val="20"/>
                      <w:szCs w:val="20"/>
                    </w:rPr>
                  </w:r>
                </w:p>
              </w:tc>
            </w:tr>
            <w:tr>
              <w:trPr/>
              <w:tc>
                <w:tcPr>
                  <w:tcW w:w="4697" w:type="dxa"/>
                  <w:tcBorders/>
                </w:tcPr>
                <w:p>
                  <w:pPr>
                    <w:pStyle w:val="Style18"/>
                    <w:bidi w:val="0"/>
                    <w:jc w:val="start"/>
                    <w:rPr>
                      <w:rFonts w:ascii="Times New Roman" w:hAnsi="Times New Roman"/>
                      <w:sz w:val="20"/>
                      <w:szCs w:val="20"/>
                    </w:rPr>
                  </w:pPr>
                  <w:r>
                    <w:rPr>
                      <w:rFonts w:ascii="Times New Roman" w:hAnsi="Times New Roman"/>
                      <w:sz w:val="20"/>
                      <w:szCs w:val="20"/>
                    </w:rPr>
                    <w:t xml:space="preserve">дата рождения: </w:t>
                  </w:r>
                  <w:r>
                    <w:rPr>
                      <w:rFonts w:ascii="Times New Roman" w:hAnsi="Times New Roman"/>
                      <w:sz w:val="20"/>
                      <w:szCs w:val="20"/>
                      <w:lang w:val="en-US"/>
                    </w:rPr>
                    <w:t>12.</w:t>
                  </w:r>
                  <w:r>
                    <w:rPr>
                      <w:rFonts w:ascii="Times New Roman" w:hAnsi="Times New Roman"/>
                      <w:sz w:val="20"/>
                      <w:szCs w:val="20"/>
                      <w:lang w:val="en-US"/>
                    </w:rPr>
                    <w:t>06.</w:t>
                  </w:r>
                  <w:r>
                    <w:rPr>
                      <w:rFonts w:ascii="Times New Roman" w:hAnsi="Times New Roman"/>
                      <w:sz w:val="20"/>
                      <w:szCs w:val="20"/>
                      <w:lang w:val="en-US"/>
                    </w:rPr>
                    <w:t>1968</w:t>
                  </w:r>
                </w:p>
                <w:p>
                  <w:pPr>
                    <w:pStyle w:val="Style18"/>
                    <w:bidi w:val="0"/>
                    <w:jc w:val="start"/>
                    <w:rPr>
                      <w:rFonts w:ascii="Times New Roman" w:hAnsi="Times New Roman"/>
                      <w:sz w:val="20"/>
                      <w:szCs w:val="20"/>
                    </w:rPr>
                  </w:pPr>
                  <w:r>
                    <w:rPr>
                      <w:rFonts w:ascii="Times New Roman" w:hAnsi="Times New Roman"/>
                      <w:sz w:val="20"/>
                      <w:szCs w:val="20"/>
                    </w:rPr>
                    <w:t xml:space="preserve">пол: </w:t>
                  </w:r>
                  <w:r>
                    <w:rPr>
                      <w:rFonts w:ascii="Times New Roman" w:hAnsi="Times New Roman"/>
                      <w:sz w:val="20"/>
                      <w:szCs w:val="20"/>
                    </w:rPr>
                    <w:t>МУЖ</w:t>
                  </w:r>
                  <w:r>
                    <w:rPr>
                      <w:rFonts w:ascii="Times New Roman" w:hAnsi="Times New Roman"/>
                      <w:sz w:val="20"/>
                      <w:szCs w:val="20"/>
                    </w:rPr>
                    <w:t>СКОЙ</w:t>
                  </w:r>
                </w:p>
                <w:p>
                  <w:pPr>
                    <w:pStyle w:val="Style18"/>
                    <w:bidi w:val="0"/>
                    <w:jc w:val="start"/>
                    <w:rPr>
                      <w:rFonts w:ascii="Times New Roman" w:hAnsi="Times New Roman"/>
                      <w:sz w:val="20"/>
                      <w:szCs w:val="20"/>
                    </w:rPr>
                  </w:pPr>
                  <w:r>
                    <w:rPr>
                      <w:rFonts w:ascii="Times New Roman" w:hAnsi="Times New Roman"/>
                      <w:sz w:val="20"/>
                      <w:szCs w:val="20"/>
                    </w:rPr>
                    <w:t xml:space="preserve">место рождения: ГОРОД ПАВЛОДАР </w:t>
                    <w:br/>
                    <w:t>КАЗАХСК</w:t>
                  </w:r>
                  <w:r>
                    <w:rPr>
                      <w:rFonts w:ascii="Times New Roman" w:hAnsi="Times New Roman"/>
                      <w:sz w:val="20"/>
                      <w:szCs w:val="20"/>
                    </w:rPr>
                    <w:t>ОЙ</w:t>
                  </w:r>
                  <w:r>
                    <w:rPr>
                      <w:rFonts w:ascii="Times New Roman" w:hAnsi="Times New Roman"/>
                      <w:sz w:val="20"/>
                      <w:szCs w:val="20"/>
                    </w:rPr>
                    <w:t xml:space="preserve"> ССР</w:t>
                  </w:r>
                </w:p>
              </w:tc>
            </w:tr>
            <w:tr>
              <w:trPr/>
              <w:tc>
                <w:tcPr>
                  <w:tcW w:w="4697" w:type="dxa"/>
                  <w:tcBorders/>
                </w:tcPr>
                <w:p>
                  <w:pPr>
                    <w:pStyle w:val="Style18"/>
                    <w:bidi w:val="0"/>
                    <w:jc w:val="start"/>
                    <w:rPr>
                      <w:rFonts w:ascii="Times New Roman" w:hAnsi="Times New Roman"/>
                      <w:sz w:val="20"/>
                      <w:szCs w:val="20"/>
                    </w:rPr>
                  </w:pPr>
                  <w:r>
                    <w:rPr>
                      <w:rFonts w:ascii="Times New Roman" w:hAnsi="Times New Roman"/>
                      <w:sz w:val="20"/>
                      <w:szCs w:val="20"/>
                    </w:rPr>
                  </w:r>
                </w:p>
              </w:tc>
            </w:tr>
            <w:tr>
              <w:trPr/>
              <w:tc>
                <w:tcPr>
                  <w:tcW w:w="4697" w:type="dxa"/>
                  <w:tcBorders/>
                </w:tcPr>
                <w:p>
                  <w:pPr>
                    <w:pStyle w:val="Style18"/>
                    <w:bidi w:val="0"/>
                    <w:jc w:val="start"/>
                    <w:rPr>
                      <w:rFonts w:ascii="Times New Roman" w:hAnsi="Times New Roman"/>
                      <w:sz w:val="20"/>
                      <w:szCs w:val="20"/>
                    </w:rPr>
                  </w:pPr>
                  <w:r>
                    <w:rPr>
                      <w:rFonts w:ascii="Times New Roman" w:hAnsi="Times New Roman"/>
                      <w:sz w:val="20"/>
                      <w:szCs w:val="20"/>
                    </w:rPr>
                    <w:t>реквизиты документа, удостоверяющего личность застрахованного лица:</w:t>
                  </w:r>
                </w:p>
              </w:tc>
            </w:tr>
            <w:tr>
              <w:trPr/>
              <w:tc>
                <w:tcPr>
                  <w:tcW w:w="4697" w:type="dxa"/>
                  <w:tcBorders/>
                </w:tcPr>
                <w:p>
                  <w:pPr>
                    <w:pStyle w:val="Style18"/>
                    <w:bidi w:val="0"/>
                    <w:jc w:val="start"/>
                    <w:rPr>
                      <w:rFonts w:ascii="Times New Roman" w:hAnsi="Times New Roman"/>
                      <w:sz w:val="20"/>
                      <w:szCs w:val="20"/>
                    </w:rPr>
                  </w:pPr>
                  <w:r>
                    <w:rPr>
                      <w:rFonts w:ascii="Times New Roman" w:hAnsi="Times New Roman"/>
                      <w:sz w:val="20"/>
                      <w:szCs w:val="20"/>
                    </w:rPr>
                    <w:t xml:space="preserve">ПАСПОРТ </w:t>
                  </w:r>
                  <w:r>
                    <w:rPr>
                      <w:rFonts w:ascii="Times New Roman" w:hAnsi="Times New Roman"/>
                      <w:sz w:val="20"/>
                      <w:szCs w:val="20"/>
                    </w:rPr>
                    <w:t xml:space="preserve">ГРАЖДАНИНА РОССИЙСКОЙ ФЕДЕРАЦИИ </w:t>
                  </w:r>
                  <w:r>
                    <w:rPr>
                      <w:rFonts w:ascii="Times New Roman" w:hAnsi="Times New Roman"/>
                      <w:sz w:val="20"/>
                      <w:szCs w:val="20"/>
                    </w:rPr>
                    <w:t>серия: 46 13 номер: 195533</w:t>
                  </w:r>
                </w:p>
                <w:p>
                  <w:pPr>
                    <w:pStyle w:val="Style18"/>
                    <w:bidi w:val="0"/>
                    <w:jc w:val="start"/>
                    <w:rPr>
                      <w:rFonts w:ascii="Times New Roman" w:hAnsi="Times New Roman"/>
                      <w:sz w:val="20"/>
                      <w:szCs w:val="20"/>
                    </w:rPr>
                  </w:pPr>
                  <w:r>
                    <w:rPr>
                      <w:rFonts w:ascii="Times New Roman" w:hAnsi="Times New Roman"/>
                      <w:sz w:val="20"/>
                      <w:szCs w:val="20"/>
                    </w:rPr>
                    <w:t>Кем и когда выдан: ТП №2 МЕЖРАЙОННЫЙ ОУФМС РОССИИ ПО МОСКОВСКОЙ ОБЛАСТИ В ГОРОДСКОМ ПОСЕЛЕНИИ ЩЕЛКОВО</w:t>
                    <w:br/>
                    <w:t>23.08.2013</w:t>
                  </w:r>
                </w:p>
              </w:tc>
            </w:tr>
            <w:tr>
              <w:trPr/>
              <w:tc>
                <w:tcPr>
                  <w:tcW w:w="4697" w:type="dxa"/>
                  <w:tcBorders/>
                </w:tcPr>
                <w:p>
                  <w:pPr>
                    <w:pStyle w:val="Style18"/>
                    <w:bidi w:val="0"/>
                    <w:jc w:val="start"/>
                    <w:rPr>
                      <w:rFonts w:ascii="Times New Roman" w:hAnsi="Times New Roman"/>
                      <w:sz w:val="20"/>
                      <w:szCs w:val="20"/>
                    </w:rPr>
                  </w:pPr>
                  <w:r>
                    <w:rPr>
                      <w:rFonts w:ascii="Times New Roman" w:hAnsi="Times New Roman"/>
                      <w:sz w:val="20"/>
                      <w:szCs w:val="20"/>
                    </w:rPr>
                  </w:r>
                </w:p>
              </w:tc>
            </w:tr>
            <w:tr>
              <w:trPr/>
              <w:tc>
                <w:tcPr>
                  <w:tcW w:w="4697" w:type="dxa"/>
                  <w:tcBorders/>
                </w:tcPr>
                <w:p>
                  <w:pPr>
                    <w:pStyle w:val="Style18"/>
                    <w:bidi w:val="0"/>
                    <w:jc w:val="start"/>
                    <w:rPr>
                      <w:rFonts w:ascii="Times New Roman" w:hAnsi="Times New Roman"/>
                      <w:sz w:val="20"/>
                      <w:szCs w:val="20"/>
                    </w:rPr>
                  </w:pPr>
                  <w:r>
                    <w:rPr>
                      <w:rFonts w:ascii="Times New Roman" w:hAnsi="Times New Roman"/>
                      <w:sz w:val="20"/>
                      <w:szCs w:val="20"/>
                      <w:lang w:val="en-US"/>
                    </w:rPr>
                    <w:t>c</w:t>
                  </w:r>
                  <w:r>
                    <w:rPr>
                      <w:rFonts w:ascii="Times New Roman" w:hAnsi="Times New Roman"/>
                      <w:sz w:val="20"/>
                      <w:szCs w:val="20"/>
                    </w:rPr>
                    <w:t>траховой номер индивидуального лицевого счета застрахованного лица: 004-608-923 29</w:t>
                  </w:r>
                </w:p>
              </w:tc>
            </w:tr>
            <w:tr>
              <w:trPr/>
              <w:tc>
                <w:tcPr>
                  <w:tcW w:w="4697" w:type="dxa"/>
                  <w:tcBorders/>
                </w:tcPr>
                <w:p>
                  <w:pPr>
                    <w:pStyle w:val="Style18"/>
                    <w:bidi w:val="0"/>
                    <w:jc w:val="start"/>
                    <w:rPr>
                      <w:rFonts w:ascii="Times New Roman" w:hAnsi="Times New Roman"/>
                      <w:sz w:val="20"/>
                      <w:szCs w:val="20"/>
                    </w:rPr>
                  </w:pPr>
                  <w:r>
                    <w:rPr>
                      <w:rFonts w:ascii="Times New Roman" w:hAnsi="Times New Roman"/>
                      <w:sz w:val="20"/>
                      <w:szCs w:val="20"/>
                    </w:rPr>
                  </w:r>
                </w:p>
              </w:tc>
            </w:tr>
            <w:tr>
              <w:trPr/>
              <w:tc>
                <w:tcPr>
                  <w:tcW w:w="4697" w:type="dxa"/>
                  <w:tcBorders/>
                </w:tcPr>
                <w:p>
                  <w:pPr>
                    <w:pStyle w:val="Style18"/>
                    <w:bidi w:val="0"/>
                    <w:jc w:val="start"/>
                    <w:rPr>
                      <w:rFonts w:ascii="Times New Roman" w:hAnsi="Times New Roman"/>
                      <w:sz w:val="20"/>
                      <w:szCs w:val="20"/>
                    </w:rPr>
                  </w:pPr>
                  <w:r>
                    <w:rPr>
                      <w:rFonts w:ascii="Times New Roman" w:hAnsi="Times New Roman"/>
                      <w:sz w:val="20"/>
                      <w:szCs w:val="20"/>
                    </w:rPr>
                    <w:t>адрес регистрации по месту жительства</w:t>
                  </w:r>
                  <w:r>
                    <w:rPr>
                      <w:rFonts w:ascii="Times New Roman" w:hAnsi="Times New Roman"/>
                      <w:sz w:val="20"/>
                      <w:szCs w:val="20"/>
                      <w:lang w:val="en-US"/>
                    </w:rPr>
                    <w:t>:</w:t>
                  </w:r>
                </w:p>
                <w:p>
                  <w:pPr>
                    <w:pStyle w:val="Style18"/>
                    <w:bidi w:val="0"/>
                    <w:jc w:val="start"/>
                    <w:rPr>
                      <w:rFonts w:ascii="Times New Roman" w:hAnsi="Times New Roman"/>
                      <w:sz w:val="20"/>
                      <w:szCs w:val="20"/>
                      <w:lang w:val="en-US"/>
                    </w:rPr>
                  </w:pPr>
                  <w:r>
                    <w:rPr>
                      <w:rFonts w:ascii="Times New Roman" w:hAnsi="Times New Roman"/>
                      <w:sz w:val="20"/>
                      <w:szCs w:val="20"/>
                      <w:lang w:val="en-US"/>
                    </w:rPr>
                    <w:t>ОБЛ. МОСКОВСКАЯ, Р-Н ЩЕЛКОВСКИЙ,</w:t>
                    <w:br/>
                    <w:t xml:space="preserve">ПОС. НОВЫЙ ГОРОДОК, ДОМ </w:t>
                  </w:r>
                  <w:r>
                    <w:rPr>
                      <w:rFonts w:ascii="Times New Roman" w:hAnsi="Times New Roman"/>
                      <w:sz w:val="20"/>
                      <w:szCs w:val="20"/>
                      <w:lang w:val="en-US"/>
                    </w:rPr>
                    <w:t>13</w:t>
                  </w:r>
                  <w:r>
                    <w:rPr>
                      <w:rFonts w:ascii="Times New Roman" w:hAnsi="Times New Roman"/>
                      <w:sz w:val="20"/>
                      <w:szCs w:val="20"/>
                      <w:lang w:val="en-US"/>
                    </w:rPr>
                    <w:t xml:space="preserve">, КВ </w:t>
                  </w:r>
                  <w:r>
                    <w:rPr>
                      <w:rFonts w:ascii="Times New Roman" w:hAnsi="Times New Roman"/>
                      <w:sz w:val="20"/>
                      <w:szCs w:val="20"/>
                      <w:lang w:val="en-US"/>
                    </w:rPr>
                    <w:t>6</w:t>
                  </w:r>
                  <w:r>
                    <w:rPr>
                      <w:rFonts w:ascii="Times New Roman" w:hAnsi="Times New Roman"/>
                      <w:sz w:val="20"/>
                      <w:szCs w:val="20"/>
                      <w:lang w:val="en-US"/>
                    </w:rPr>
                    <w:t xml:space="preserve">. </w:t>
                  </w:r>
                </w:p>
                <w:p>
                  <w:pPr>
                    <w:pStyle w:val="Style18"/>
                    <w:bidi w:val="0"/>
                    <w:jc w:val="start"/>
                    <w:rPr>
                      <w:rFonts w:ascii="Times New Roman" w:hAnsi="Times New Roman"/>
                      <w:sz w:val="20"/>
                      <w:szCs w:val="20"/>
                    </w:rPr>
                  </w:pPr>
                  <w:r>
                    <w:rPr>
                      <w:rFonts w:ascii="Times New Roman" w:hAnsi="Times New Roman"/>
                      <w:sz w:val="20"/>
                      <w:szCs w:val="20"/>
                    </w:rPr>
                  </w:r>
                </w:p>
                <w:p>
                  <w:pPr>
                    <w:pStyle w:val="Style18"/>
                    <w:bidi w:val="0"/>
                    <w:jc w:val="start"/>
                    <w:rPr>
                      <w:rFonts w:ascii="Times New Roman" w:hAnsi="Times New Roman"/>
                      <w:sz w:val="20"/>
                      <w:szCs w:val="20"/>
                    </w:rPr>
                  </w:pPr>
                  <w:r>
                    <w:rPr>
                      <w:rFonts w:ascii="Times New Roman" w:hAnsi="Times New Roman"/>
                      <w:sz w:val="20"/>
                      <w:szCs w:val="20"/>
                    </w:rPr>
                    <w:t>фактическо</w:t>
                  </w:r>
                  <w:r>
                    <w:rPr>
                      <w:rFonts w:ascii="Times New Roman" w:hAnsi="Times New Roman"/>
                      <w:sz w:val="20"/>
                      <w:szCs w:val="20"/>
                    </w:rPr>
                    <w:t>е</w:t>
                  </w:r>
                  <w:r>
                    <w:rPr>
                      <w:rFonts w:ascii="Times New Roman" w:hAnsi="Times New Roman"/>
                      <w:sz w:val="20"/>
                      <w:szCs w:val="20"/>
                    </w:rPr>
                    <w:t xml:space="preserve"> место жительства</w:t>
                  </w:r>
                  <w:r>
                    <w:rPr>
                      <w:rFonts w:ascii="Times New Roman" w:hAnsi="Times New Roman"/>
                      <w:sz w:val="20"/>
                      <w:szCs w:val="20"/>
                    </w:rPr>
                    <w:t xml:space="preserve">: </w:t>
                    <w:br/>
                    <w:t xml:space="preserve">Россия, </w:t>
                  </w:r>
                  <w:r>
                    <w:rPr>
                      <w:rFonts w:ascii="Times New Roman" w:hAnsi="Times New Roman"/>
                      <w:sz w:val="20"/>
                      <w:szCs w:val="20"/>
                    </w:rPr>
                    <w:t xml:space="preserve">141143, </w:t>
                  </w:r>
                  <w:r>
                    <w:rPr>
                      <w:rFonts w:ascii="Times New Roman" w:hAnsi="Times New Roman"/>
                      <w:sz w:val="20"/>
                      <w:szCs w:val="20"/>
                    </w:rPr>
                    <w:t xml:space="preserve">Московская область, Щёлковский район, посёлок Новый Городок, дом </w:t>
                  </w:r>
                  <w:r>
                    <w:rPr>
                      <w:rFonts w:ascii="Times New Roman" w:hAnsi="Times New Roman"/>
                      <w:sz w:val="20"/>
                      <w:szCs w:val="20"/>
                    </w:rPr>
                    <w:t>13</w:t>
                  </w:r>
                  <w:r>
                    <w:rPr>
                      <w:rFonts w:ascii="Times New Roman" w:hAnsi="Times New Roman"/>
                      <w:sz w:val="20"/>
                      <w:szCs w:val="20"/>
                    </w:rPr>
                    <w:t xml:space="preserve">, кв. </w:t>
                  </w:r>
                  <w:r>
                    <w:rPr>
                      <w:rFonts w:ascii="Times New Roman" w:hAnsi="Times New Roman"/>
                      <w:sz w:val="20"/>
                      <w:szCs w:val="20"/>
                    </w:rPr>
                    <w:t>6.</w:t>
                  </w:r>
                </w:p>
              </w:tc>
            </w:tr>
            <w:tr>
              <w:trPr/>
              <w:tc>
                <w:tcPr>
                  <w:tcW w:w="4697" w:type="dxa"/>
                  <w:tcBorders/>
                </w:tcPr>
                <w:p>
                  <w:pPr>
                    <w:pStyle w:val="Style18"/>
                    <w:bidi w:val="0"/>
                    <w:jc w:val="start"/>
                    <w:rPr>
                      <w:rFonts w:ascii="Times New Roman" w:hAnsi="Times New Roman"/>
                      <w:sz w:val="20"/>
                      <w:szCs w:val="20"/>
                    </w:rPr>
                  </w:pPr>
                  <w:r>
                    <w:rPr>
                      <w:rFonts w:ascii="Times New Roman" w:hAnsi="Times New Roman"/>
                      <w:sz w:val="20"/>
                      <w:szCs w:val="20"/>
                    </w:rPr>
                  </w:r>
                </w:p>
              </w:tc>
            </w:tr>
            <w:tr>
              <w:trPr/>
              <w:tc>
                <w:tcPr>
                  <w:tcW w:w="4697" w:type="dxa"/>
                  <w:tcBorders/>
                </w:tcPr>
                <w:p>
                  <w:pPr>
                    <w:pStyle w:val="Style18"/>
                    <w:bidi w:val="0"/>
                    <w:jc w:val="start"/>
                    <w:rPr>
                      <w:rFonts w:ascii="Times New Roman" w:hAnsi="Times New Roman"/>
                      <w:sz w:val="20"/>
                      <w:szCs w:val="20"/>
                    </w:rPr>
                  </w:pPr>
                  <w:r>
                    <w:rPr>
                      <w:rFonts w:ascii="Times New Roman" w:hAnsi="Times New Roman"/>
                      <w:sz w:val="20"/>
                      <w:szCs w:val="20"/>
                    </w:rPr>
                    <w:t>контактный телефон (номер): +7 915 149 2949</w:t>
                    <w:br/>
                    <w:t>электронная почта: eugene.maslennikov@gmail.com</w:t>
                  </w:r>
                </w:p>
              </w:tc>
            </w:tr>
            <w:tr>
              <w:trPr/>
              <w:tc>
                <w:tcPr>
                  <w:tcW w:w="4697" w:type="dxa"/>
                  <w:tcBorders/>
                </w:tcPr>
                <w:p>
                  <w:pPr>
                    <w:pStyle w:val="Style18"/>
                    <w:bidi w:val="0"/>
                    <w:jc w:val="start"/>
                    <w:rPr>
                      <w:rFonts w:ascii="Times New Roman" w:hAnsi="Times New Roman"/>
                      <w:sz w:val="20"/>
                      <w:szCs w:val="20"/>
                    </w:rPr>
                  </w:pPr>
                  <w:r>
                    <w:rPr>
                      <w:rFonts w:ascii="Times New Roman" w:hAnsi="Times New Roman"/>
                      <w:sz w:val="20"/>
                      <w:szCs w:val="20"/>
                    </w:rPr>
                  </w:r>
                </w:p>
              </w:tc>
            </w:tr>
          </w:tbl>
          <w:p>
            <w:pPr>
              <w:pStyle w:val="Style18"/>
              <w:bidi w:val="0"/>
              <w:jc w:val="start"/>
              <w:rPr>
                <w:rFonts w:ascii="Times New Roman" w:hAnsi="Times New Roman"/>
                <w:sz w:val="20"/>
                <w:szCs w:val="20"/>
              </w:rPr>
            </w:pPr>
            <w:r>
              <w:rPr>
                <w:rFonts w:ascii="Times New Roman" w:hAnsi="Times New Roman"/>
                <w:sz w:val="20"/>
                <w:szCs w:val="20"/>
              </w:rPr>
            </w:r>
          </w:p>
        </w:tc>
      </w:tr>
    </w:tbl>
    <w:tbl>
      <w:tblPr>
        <w:tblW w:w="9635" w:type="dxa"/>
        <w:jc w:val="start"/>
        <w:tblInd w:w="0" w:type="dxa"/>
        <w:tblLayout w:type="fixed"/>
        <w:tblCellMar>
          <w:top w:w="0" w:type="dxa"/>
          <w:start w:w="0" w:type="dxa"/>
          <w:bottom w:w="0" w:type="dxa"/>
          <w:end w:w="0" w:type="dxa"/>
        </w:tblCellMar>
      </w:tblPr>
      <w:tblGrid>
        <w:gridCol w:w="4765"/>
        <w:gridCol w:w="173"/>
        <w:gridCol w:w="4697"/>
      </w:tblGrid>
      <w:tr>
        <w:trPr/>
        <w:tc>
          <w:tcPr>
            <w:tcW w:w="9635" w:type="dxa"/>
            <w:gridSpan w:val="3"/>
            <w:tcBorders/>
          </w:tcPr>
          <w:p>
            <w:pPr>
              <w:pStyle w:val="Normal"/>
              <w:bidi w:val="0"/>
              <w:jc w:val="center"/>
              <w:rPr>
                <w:rFonts w:ascii="Times New Roman" w:hAnsi="Times New Roman"/>
                <w:b/>
                <w:bCs/>
                <w:sz w:val="20"/>
                <w:szCs w:val="20"/>
              </w:rPr>
            </w:pPr>
            <w:r>
              <w:rPr>
                <w:rFonts w:ascii="Times New Roman" w:hAnsi="Times New Roman"/>
                <w:b/>
                <w:bCs/>
                <w:sz w:val="20"/>
                <w:szCs w:val="20"/>
              </w:rPr>
              <w:t>Подписи сторон:</w:t>
            </w:r>
          </w:p>
        </w:tc>
      </w:tr>
      <w:tr>
        <w:trPr/>
        <w:tc>
          <w:tcPr>
            <w:tcW w:w="4765" w:type="dxa"/>
            <w:tcBorders>
              <w:bottom w:val="single" w:sz="2" w:space="0" w:color="000000"/>
            </w:tcBorders>
          </w:tcPr>
          <w:p>
            <w:pPr>
              <w:pStyle w:val="Style18"/>
              <w:bidi w:val="0"/>
              <w:jc w:val="start"/>
              <w:rPr>
                <w:rFonts w:ascii="Times New Roman" w:hAnsi="Times New Roman" w:eastAsia="Symbol" w:cs="Wingdings"/>
                <w:sz w:val="20"/>
                <w:szCs w:val="20"/>
              </w:rPr>
            </w:pPr>
            <w:r>
              <w:rPr>
                <w:rFonts w:eastAsia="Symbol" w:cs="Wingdings" w:ascii="Times New Roman" w:hAnsi="Times New Roman"/>
                <w:sz w:val="20"/>
                <w:szCs w:val="20"/>
              </w:rPr>
            </w:r>
          </w:p>
        </w:tc>
        <w:tc>
          <w:tcPr>
            <w:tcW w:w="173" w:type="dxa"/>
            <w:tcBorders/>
          </w:tcPr>
          <w:p>
            <w:pPr>
              <w:pStyle w:val="Style18"/>
              <w:bidi w:val="0"/>
              <w:jc w:val="start"/>
              <w:rPr>
                <w:rFonts w:ascii="Times New Roman" w:hAnsi="Times New Roman" w:eastAsia="Symbol" w:cs="Wingdings"/>
                <w:sz w:val="20"/>
                <w:szCs w:val="20"/>
              </w:rPr>
            </w:pPr>
            <w:r>
              <w:rPr>
                <w:rFonts w:eastAsia="Symbol" w:cs="Wingdings" w:ascii="Times New Roman" w:hAnsi="Times New Roman"/>
                <w:sz w:val="20"/>
                <w:szCs w:val="20"/>
              </w:rPr>
            </w:r>
          </w:p>
        </w:tc>
        <w:tc>
          <w:tcPr>
            <w:tcW w:w="4697" w:type="dxa"/>
            <w:tcBorders/>
          </w:tcPr>
          <w:p>
            <w:pPr>
              <w:pStyle w:val="Style18"/>
              <w:bidi w:val="0"/>
              <w:jc w:val="start"/>
              <w:rPr>
                <w:rFonts w:ascii="Times New Roman" w:hAnsi="Times New Roman" w:eastAsia="Symbol" w:cs="Wingdings"/>
                <w:sz w:val="20"/>
                <w:szCs w:val="20"/>
              </w:rPr>
            </w:pPr>
            <w:r>
              <w:rPr>
                <w:rFonts w:eastAsia="Symbol" w:cs="Wingdings" w:ascii="Times New Roman" w:hAnsi="Times New Roman"/>
                <w:sz w:val="20"/>
                <w:szCs w:val="20"/>
              </w:rPr>
              <w:drawing>
                <wp:anchor behindDoc="0" distT="0" distB="0" distL="0" distR="0" simplePos="0" locked="0" layoutInCell="1" allowOverlap="1" relativeHeight="3">
                  <wp:simplePos x="0" y="0"/>
                  <wp:positionH relativeFrom="column">
                    <wp:align>right</wp:align>
                  </wp:positionH>
                  <wp:positionV relativeFrom="paragraph">
                    <wp:posOffset>25400</wp:posOffset>
                  </wp:positionV>
                  <wp:extent cx="2305050" cy="885825"/>
                  <wp:effectExtent l="0" t="0" r="0" b="0"/>
                  <wp:wrapNone/>
                  <wp:docPr id="2" name="Изображение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title=""/>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2305050" cy="885825"/>
                          </a:xfrm>
                          <a:prstGeom prst="rect">
                            <a:avLst/>
                          </a:prstGeom>
                          <a:noFill/>
                        </pic:spPr>
                      </pic:pic>
                    </a:graphicData>
                  </a:graphic>
                </wp:anchor>
              </w:drawing>
            </w:r>
          </w:p>
        </w:tc>
      </w:tr>
      <w:tr>
        <w:trPr/>
        <w:tc>
          <w:tcPr>
            <w:tcW w:w="4765" w:type="dxa"/>
            <w:tcBorders/>
          </w:tcPr>
          <w:p>
            <w:pPr>
              <w:pStyle w:val="Style18"/>
              <w:bidi w:val="0"/>
              <w:jc w:val="start"/>
              <w:rPr>
                <w:rFonts w:ascii="Times New Roman" w:hAnsi="Times New Roman" w:eastAsia="Symbol" w:cs="Wingdings"/>
                <w:sz w:val="20"/>
                <w:szCs w:val="20"/>
              </w:rPr>
            </w:pPr>
            <w:r>
              <w:rPr>
                <w:rFonts w:eastAsia="Symbol" w:cs="Wingdings" w:ascii="Times New Roman" w:hAnsi="Times New Roman"/>
                <w:sz w:val="20"/>
                <w:szCs w:val="20"/>
              </w:rPr>
            </w:r>
          </w:p>
        </w:tc>
        <w:tc>
          <w:tcPr>
            <w:tcW w:w="173" w:type="dxa"/>
            <w:tcBorders/>
          </w:tcPr>
          <w:p>
            <w:pPr>
              <w:pStyle w:val="Style18"/>
              <w:bidi w:val="0"/>
              <w:jc w:val="start"/>
              <w:rPr>
                <w:rFonts w:ascii="Times New Roman" w:hAnsi="Times New Roman" w:eastAsia="Symbol" w:cs="Wingdings"/>
                <w:sz w:val="20"/>
                <w:szCs w:val="20"/>
              </w:rPr>
            </w:pPr>
            <w:r>
              <w:rPr>
                <w:rFonts w:eastAsia="Symbol" w:cs="Wingdings" w:ascii="Times New Roman" w:hAnsi="Times New Roman"/>
                <w:sz w:val="20"/>
                <w:szCs w:val="20"/>
              </w:rPr>
            </w:r>
          </w:p>
        </w:tc>
        <w:tc>
          <w:tcPr>
            <w:tcW w:w="4697" w:type="dxa"/>
            <w:tcBorders/>
          </w:tcPr>
          <w:p>
            <w:pPr>
              <w:pStyle w:val="Style18"/>
              <w:bidi w:val="0"/>
              <w:jc w:val="start"/>
              <w:rPr>
                <w:rFonts w:ascii="Times New Roman" w:hAnsi="Times New Roman" w:eastAsia="Symbol" w:cs="Wingdings"/>
                <w:sz w:val="20"/>
                <w:szCs w:val="20"/>
              </w:rPr>
            </w:pPr>
            <w:r>
              <w:rPr>
                <w:rFonts w:eastAsia="Symbol" w:cs="Wingdings" w:ascii="Times New Roman" w:hAnsi="Times New Roman"/>
                <w:sz w:val="20"/>
                <w:szCs w:val="20"/>
              </w:rPr>
            </w:r>
          </w:p>
        </w:tc>
      </w:tr>
      <w:tr>
        <w:trPr/>
        <w:tc>
          <w:tcPr>
            <w:tcW w:w="4765" w:type="dxa"/>
            <w:tcBorders>
              <w:bottom w:val="single" w:sz="2" w:space="0" w:color="000000"/>
            </w:tcBorders>
          </w:tcPr>
          <w:p>
            <w:pPr>
              <w:pStyle w:val="Style18"/>
              <w:bidi w:val="0"/>
              <w:jc w:val="start"/>
              <w:rPr>
                <w:rFonts w:ascii="Times New Roman" w:hAnsi="Times New Roman" w:eastAsia="Symbol" w:cs="Wingdings"/>
                <w:sz w:val="20"/>
                <w:szCs w:val="20"/>
              </w:rPr>
            </w:pPr>
            <w:r>
              <w:rPr>
                <w:rFonts w:eastAsia="Symbol" w:cs="Wingdings" w:ascii="Times New Roman" w:hAnsi="Times New Roman"/>
                <w:sz w:val="20"/>
                <w:szCs w:val="20"/>
              </w:rPr>
            </w:r>
          </w:p>
        </w:tc>
        <w:tc>
          <w:tcPr>
            <w:tcW w:w="173" w:type="dxa"/>
            <w:tcBorders/>
          </w:tcPr>
          <w:p>
            <w:pPr>
              <w:pStyle w:val="Style18"/>
              <w:bidi w:val="0"/>
              <w:jc w:val="start"/>
              <w:rPr>
                <w:rFonts w:ascii="Times New Roman" w:hAnsi="Times New Roman" w:eastAsia="Symbol" w:cs="Wingdings"/>
                <w:sz w:val="20"/>
                <w:szCs w:val="20"/>
              </w:rPr>
            </w:pPr>
            <w:r>
              <w:rPr>
                <w:rFonts w:eastAsia="Symbol" w:cs="Wingdings" w:ascii="Times New Roman" w:hAnsi="Times New Roman"/>
                <w:sz w:val="20"/>
                <w:szCs w:val="20"/>
              </w:rPr>
            </w:r>
          </w:p>
        </w:tc>
        <w:tc>
          <w:tcPr>
            <w:tcW w:w="4697" w:type="dxa"/>
            <w:tcBorders>
              <w:bottom w:val="single" w:sz="2" w:space="0" w:color="000000"/>
            </w:tcBorders>
          </w:tcPr>
          <w:p>
            <w:pPr>
              <w:pStyle w:val="Style18"/>
              <w:bidi w:val="0"/>
              <w:jc w:val="start"/>
              <w:rPr>
                <w:rFonts w:ascii="Times New Roman" w:hAnsi="Times New Roman" w:eastAsia="Symbol" w:cs="Wingdings"/>
                <w:sz w:val="20"/>
                <w:szCs w:val="20"/>
              </w:rPr>
            </w:pPr>
            <w:r>
              <w:rPr>
                <w:rFonts w:eastAsia="Symbol" w:cs="Wingdings" w:ascii="Times New Roman" w:hAnsi="Times New Roman"/>
                <w:sz w:val="20"/>
                <w:szCs w:val="20"/>
              </w:rPr>
            </w:r>
          </w:p>
        </w:tc>
      </w:tr>
      <w:tr>
        <w:trPr/>
        <w:tc>
          <w:tcPr>
            <w:tcW w:w="4765" w:type="dxa"/>
            <w:tcBorders/>
          </w:tcPr>
          <w:p>
            <w:pPr>
              <w:pStyle w:val="Style18"/>
              <w:bidi w:val="0"/>
              <w:jc w:val="center"/>
              <w:rPr>
                <w:rFonts w:ascii="Times New Roman" w:hAnsi="Times New Roman" w:eastAsia="Symbol" w:cs="Wingdings"/>
                <w:sz w:val="20"/>
                <w:szCs w:val="20"/>
              </w:rPr>
            </w:pPr>
            <w:r>
              <w:rPr>
                <w:rFonts w:eastAsia="Symbol" w:cs="Wingdings" w:ascii="Times New Roman" w:hAnsi="Times New Roman"/>
                <w:sz w:val="20"/>
                <w:szCs w:val="20"/>
              </w:rPr>
              <w:t>(</w:t>
            </w:r>
            <w:r>
              <w:rPr>
                <w:rFonts w:eastAsia="Symbol" w:cs="Wingdings" w:ascii="Times New Roman" w:hAnsi="Times New Roman"/>
                <w:sz w:val="18"/>
                <w:szCs w:val="18"/>
              </w:rPr>
              <w:t>фамилия, имя, отчество (при наличии) и подпись единоличного исполнительного органа фонда/заместителя единоличного исполнительного органа фонда)</w:t>
            </w:r>
          </w:p>
        </w:tc>
        <w:tc>
          <w:tcPr>
            <w:tcW w:w="173" w:type="dxa"/>
            <w:tcBorders/>
          </w:tcPr>
          <w:p>
            <w:pPr>
              <w:pStyle w:val="Style18"/>
              <w:bidi w:val="0"/>
              <w:jc w:val="start"/>
              <w:rPr>
                <w:rFonts w:ascii="Times New Roman" w:hAnsi="Times New Roman" w:eastAsia="Symbol" w:cs="Wingdings"/>
                <w:sz w:val="20"/>
                <w:szCs w:val="20"/>
              </w:rPr>
            </w:pPr>
            <w:r>
              <w:rPr>
                <w:rFonts w:eastAsia="Symbol" w:cs="Wingdings" w:ascii="Times New Roman" w:hAnsi="Times New Roman"/>
                <w:sz w:val="20"/>
                <w:szCs w:val="20"/>
              </w:rPr>
            </w:r>
          </w:p>
        </w:tc>
        <w:tc>
          <w:tcPr>
            <w:tcW w:w="4697" w:type="dxa"/>
            <w:tcBorders/>
          </w:tcPr>
          <w:p>
            <w:pPr>
              <w:pStyle w:val="Style18"/>
              <w:bidi w:val="0"/>
              <w:jc w:val="center"/>
              <w:rPr>
                <w:rFonts w:ascii="Times New Roman" w:hAnsi="Times New Roman" w:eastAsia="Symbol" w:cs="Wingdings"/>
                <w:sz w:val="18"/>
                <w:szCs w:val="18"/>
              </w:rPr>
            </w:pPr>
            <w:r>
              <w:rPr>
                <w:rFonts w:eastAsia="Symbol" w:cs="Wingdings" w:ascii="Times New Roman" w:hAnsi="Times New Roman"/>
                <w:sz w:val="18"/>
                <w:szCs w:val="18"/>
              </w:rPr>
              <w:t>(подпись застрахованного лица)</w:t>
            </w:r>
          </w:p>
        </w:tc>
      </w:tr>
    </w:tbl>
    <w:p>
      <w:pPr>
        <w:pStyle w:val="OEM"/>
        <w:jc w:val="start"/>
        <w:rPr>
          <w:rFonts w:ascii="Times New Roman" w:hAnsi="Times New Roman"/>
          <w:b w:val="false"/>
          <w:bCs w:val="false"/>
          <w:color w:val="26282F"/>
          <w:sz w:val="20"/>
          <w:szCs w:val="20"/>
        </w:rPr>
      </w:pPr>
      <w:r>
        <w:rPr>
          <w:rFonts w:ascii="Times New Roman" w:hAnsi="Times New Roman"/>
          <w:b w:val="false"/>
          <w:bCs w:val="false"/>
          <w:color w:val="26282F"/>
          <w:sz w:val="20"/>
          <w:szCs w:val="20"/>
        </w:rPr>
        <w:t>М.П.</w:t>
      </w:r>
    </w:p>
    <w:p>
      <w:pPr>
        <w:pStyle w:val="OEM"/>
        <w:jc w:val="start"/>
        <w:rPr>
          <w:rFonts w:ascii="Times New Roman" w:hAnsi="Times New Roman"/>
          <w:b w:val="false"/>
          <w:bCs w:val="false"/>
          <w:color w:val="26282F"/>
          <w:sz w:val="20"/>
          <w:szCs w:val="20"/>
        </w:rPr>
      </w:pPr>
      <w:r>
        <w:rPr>
          <w:rFonts w:ascii="Times New Roman" w:hAnsi="Times New Roman"/>
          <w:b w:val="false"/>
          <w:bCs w:val="false"/>
          <w:color w:val="26282F"/>
          <w:sz w:val="20"/>
          <w:szCs w:val="20"/>
        </w:rPr>
      </w:r>
    </w:p>
    <w:p>
      <w:pPr>
        <w:pStyle w:val="OEM"/>
        <w:jc w:val="start"/>
        <w:rPr>
          <w:rFonts w:ascii="Times New Roman" w:hAnsi="Times New Roman"/>
          <w:b w:val="false"/>
          <w:bCs w:val="false"/>
          <w:color w:val="26282F"/>
          <w:sz w:val="20"/>
          <w:szCs w:val="20"/>
        </w:rPr>
      </w:pPr>
      <w:r>
        <w:rPr>
          <w:rFonts w:ascii="Times New Roman" w:hAnsi="Times New Roman"/>
          <w:b w:val="false"/>
          <w:bCs w:val="false"/>
          <w:color w:val="26282F"/>
          <w:sz w:val="20"/>
          <w:szCs w:val="20"/>
        </w:rPr>
      </w:r>
    </w:p>
    <w:p>
      <w:pPr>
        <w:pStyle w:val="OEM"/>
        <w:jc w:val="start"/>
        <w:rPr>
          <w:rFonts w:ascii="Times New Roman" w:hAnsi="Times New Roman"/>
          <w:b w:val="false"/>
          <w:bCs w:val="false"/>
          <w:color w:val="26282F"/>
          <w:sz w:val="20"/>
          <w:szCs w:val="20"/>
        </w:rPr>
      </w:pPr>
      <w:r>
        <w:rPr>
          <w:rFonts w:ascii="Times New Roman" w:hAnsi="Times New Roman"/>
          <w:b w:val="false"/>
          <w:bCs w:val="false"/>
          <w:color w:val="26282F"/>
          <w:sz w:val="20"/>
          <w:szCs w:val="20"/>
        </w:rPr>
      </w:r>
    </w:p>
    <w:p>
      <w:pPr>
        <w:pStyle w:val="OEM"/>
        <w:jc w:val="start"/>
        <w:rPr>
          <w:rFonts w:ascii="Times New Roman" w:hAnsi="Times New Roman"/>
          <w:b w:val="false"/>
          <w:bCs w:val="false"/>
          <w:color w:val="26282F"/>
          <w:sz w:val="20"/>
          <w:szCs w:val="20"/>
        </w:rPr>
      </w:pPr>
      <w:r>
        <w:rPr>
          <w:rFonts w:ascii="Times New Roman" w:hAnsi="Times New Roman"/>
          <w:b w:val="false"/>
          <w:bCs w:val="false"/>
          <w:color w:val="26282F"/>
          <w:sz w:val="20"/>
          <w:szCs w:val="20"/>
        </w:rPr>
      </w:r>
    </w:p>
    <w:p>
      <w:pPr>
        <w:pStyle w:val="OEM"/>
        <w:jc w:val="start"/>
        <w:rPr>
          <w:rFonts w:ascii="Times New Roman" w:hAnsi="Times New Roman"/>
          <w:b w:val="false"/>
          <w:bCs w:val="false"/>
          <w:color w:val="26282F"/>
          <w:sz w:val="20"/>
          <w:szCs w:val="20"/>
        </w:rPr>
      </w:pPr>
      <w:r>
        <w:rPr>
          <w:rFonts w:ascii="Times New Roman" w:hAnsi="Times New Roman"/>
          <w:b w:val="false"/>
          <w:bCs w:val="false"/>
          <w:color w:val="26282F"/>
          <w:sz w:val="20"/>
          <w:szCs w:val="20"/>
        </w:rPr>
      </w:r>
    </w:p>
    <w:p>
      <w:pPr>
        <w:pStyle w:val="OEM"/>
        <w:jc w:val="start"/>
        <w:rPr>
          <w:rFonts w:ascii="Times New Roman" w:hAnsi="Times New Roman"/>
          <w:b w:val="false"/>
          <w:bCs w:val="false"/>
          <w:color w:val="26282F"/>
          <w:sz w:val="20"/>
          <w:szCs w:val="20"/>
        </w:rPr>
      </w:pPr>
      <w:r>
        <w:rPr>
          <w:rFonts w:ascii="Times New Roman" w:hAnsi="Times New Roman"/>
          <w:b w:val="false"/>
          <w:bCs w:val="false"/>
          <w:color w:val="26282F"/>
          <w:sz w:val="20"/>
          <w:szCs w:val="20"/>
        </w:rPr>
      </w:r>
    </w:p>
    <w:p>
      <w:pPr>
        <w:pStyle w:val="OEM"/>
        <w:jc w:val="start"/>
        <w:rPr>
          <w:rFonts w:ascii="Times New Roman" w:hAnsi="Times New Roman"/>
          <w:b w:val="false"/>
          <w:bCs w:val="false"/>
          <w:color w:val="26282F"/>
          <w:sz w:val="20"/>
          <w:szCs w:val="20"/>
        </w:rPr>
      </w:pPr>
      <w:r>
        <w:rPr>
          <w:rFonts w:ascii="Times New Roman" w:hAnsi="Times New Roman"/>
          <w:b w:val="false"/>
          <w:bCs w:val="false"/>
          <w:color w:val="26282F"/>
          <w:sz w:val="20"/>
          <w:szCs w:val="20"/>
        </w:rPr>
      </w:r>
    </w:p>
    <w:p>
      <w:pPr>
        <w:pStyle w:val="OEM"/>
        <w:jc w:val="start"/>
        <w:rPr>
          <w:rFonts w:ascii="Times New Roman" w:hAnsi="Times New Roman"/>
          <w:b w:val="false"/>
          <w:bCs w:val="false"/>
          <w:color w:val="26282F"/>
          <w:sz w:val="20"/>
          <w:szCs w:val="20"/>
        </w:rPr>
      </w:pPr>
      <w:r>
        <w:rPr>
          <w:rFonts w:ascii="Times New Roman" w:hAnsi="Times New Roman"/>
          <w:b w:val="false"/>
          <w:bCs w:val="false"/>
          <w:color w:val="26282F"/>
          <w:sz w:val="20"/>
          <w:szCs w:val="20"/>
        </w:rPr>
        <w:t>Приложение к Договору об обязательном пенсионном страховании.</w:t>
      </w:r>
    </w:p>
    <w:p>
      <w:pPr>
        <w:pStyle w:val="OEM"/>
        <w:jc w:val="start"/>
        <w:rPr>
          <w:rFonts w:ascii="Times New Roman" w:hAnsi="Times New Roman"/>
          <w:b w:val="false"/>
          <w:bCs w:val="false"/>
          <w:color w:val="26282F"/>
          <w:sz w:val="20"/>
          <w:szCs w:val="20"/>
        </w:rPr>
      </w:pPr>
      <w:r>
        <w:rPr>
          <w:rFonts w:ascii="Times New Roman" w:hAnsi="Times New Roman"/>
          <w:b w:val="false"/>
          <w:bCs w:val="false"/>
          <w:color w:val="26282F"/>
          <w:sz w:val="20"/>
          <w:szCs w:val="20"/>
        </w:rPr>
      </w:r>
    </w:p>
    <w:p>
      <w:pPr>
        <w:pStyle w:val="OEM"/>
        <w:jc w:val="start"/>
        <w:rPr>
          <w:rFonts w:ascii="Times New Roman" w:hAnsi="Times New Roman"/>
          <w:b w:val="false"/>
          <w:bCs w:val="false"/>
          <w:color w:val="26282F"/>
          <w:sz w:val="20"/>
          <w:szCs w:val="20"/>
        </w:rPr>
      </w:pPr>
      <w:r>
        <w:rPr>
          <w:rFonts w:ascii="Times New Roman" w:hAnsi="Times New Roman"/>
          <w:b w:val="false"/>
          <w:bCs w:val="false"/>
          <w:color w:val="26282F"/>
          <w:sz w:val="20"/>
          <w:szCs w:val="20"/>
        </w:rPr>
        <w:t xml:space="preserve">Со страховыми правилами фонда, а также правилами определения размера средств пенсионных накоплений, подлежащих передаче в фонд при переходе (досрочном переходе) застрахованного лица в фонд из Фонда пенсионного и социального страхования Российской Федерации или из другого негосударственного пенсионного фонда, в соответствии со статьей 36.6-1 Федерального закона "О негосударственных пенсионных </w:t>
      </w:r>
      <w:r>
        <w:drawing>
          <wp:anchor behindDoc="0" distT="0" distB="0" distL="0" distR="0" simplePos="0" locked="0" layoutInCell="0" allowOverlap="1" relativeHeight="2">
            <wp:simplePos x="0" y="0"/>
            <wp:positionH relativeFrom="column">
              <wp:posOffset>-342265</wp:posOffset>
            </wp:positionH>
            <wp:positionV relativeFrom="paragraph">
              <wp:posOffset>806450</wp:posOffset>
            </wp:positionV>
            <wp:extent cx="6807835" cy="6548120"/>
            <wp:effectExtent l="0" t="0" r="0" b="0"/>
            <wp:wrapSquare wrapText="largest"/>
            <wp:docPr id="3" name="Изображение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1" descr="" title=""/>
                    <pic:cNvPicPr>
                      <a:picLocks noChangeAspect="1" noChangeArrowheads="1"/>
                    </pic:cNvPicPr>
                  </pic:nvPicPr>
                  <pic:blipFill>
                    <a:blip r:link="rId4"/>
                    <a:srcRect l="0" t="5045" r="0" b="26921"/>
                    <a:stretch>
                      <a:fillRect/>
                    </a:stretch>
                  </pic:blipFill>
                  <pic:spPr bwMode="auto">
                    <a:xfrm>
                      <a:off x="0" y="0"/>
                      <a:ext cx="6807835" cy="6548120"/>
                    </a:xfrm>
                    <a:prstGeom prst="rect">
                      <a:avLst/>
                    </a:prstGeom>
                    <a:noFill/>
                  </pic:spPr>
                </pic:pic>
              </a:graphicData>
            </a:graphic>
          </wp:anchor>
        </w:drawing>
      </w:r>
      <w:r>
        <w:rPr>
          <w:rFonts w:ascii="Times New Roman" w:hAnsi="Times New Roman"/>
          <w:b w:val="false"/>
          <w:bCs w:val="false"/>
          <w:color w:val="26282F"/>
          <w:sz w:val="20"/>
          <w:szCs w:val="20"/>
        </w:rPr>
        <w:t>фондах" застрахованное лицо ознакомлено:</w:t>
      </w:r>
    </w:p>
    <w:p>
      <w:pPr>
        <w:pStyle w:val="OEM"/>
        <w:jc w:val="start"/>
        <w:rPr>
          <w:rFonts w:ascii="Times New Roman" w:hAnsi="Times New Roman"/>
          <w:b w:val="false"/>
          <w:bCs w:val="false"/>
          <w:color w:val="26282F"/>
          <w:sz w:val="20"/>
          <w:szCs w:val="20"/>
        </w:rPr>
      </w:pPr>
      <w:r>
        <w:rPr>
          <w:rFonts w:ascii="Times New Roman" w:hAnsi="Times New Roman"/>
          <w:b w:val="false"/>
          <w:bCs w:val="false"/>
          <w:color w:val="26282F"/>
          <w:sz w:val="20"/>
          <w:szCs w:val="20"/>
        </w:rPr>
        <w:drawing>
          <wp:anchor behindDoc="0" distT="0" distB="0" distL="0" distR="0" simplePos="0" locked="0" layoutInCell="1" allowOverlap="1" relativeHeight="4">
            <wp:simplePos x="0" y="0"/>
            <wp:positionH relativeFrom="column">
              <wp:posOffset>3336925</wp:posOffset>
            </wp:positionH>
            <wp:positionV relativeFrom="paragraph">
              <wp:posOffset>1313815</wp:posOffset>
            </wp:positionV>
            <wp:extent cx="2305050" cy="885825"/>
            <wp:effectExtent l="74930" t="282575" r="74930" b="282575"/>
            <wp:wrapNone/>
            <wp:docPr id="4" name="Изображение2 Копия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2 Копия 2" descr="" title=""/>
                    <pic:cNvPicPr>
                      <a:picLocks noChangeAspect="1" noChangeArrowheads="1"/>
                    </pic:cNvPicPr>
                  </pic:nvPicPr>
                  <pic:blipFill>
                    <a:blip r:embed="rId5">
                      <a:extLst>
                        <a:ext uri="{96DAC541-7B7A-43D3-8B79-37D633B846F1}">
                          <asvg:svgBlip xmlns:asvg="http://schemas.microsoft.com/office/drawing/2016/SVG/main" r:embed="rId6"/>
                        </a:ext>
                      </a:extLst>
                    </a:blip>
                    <a:stretch>
                      <a:fillRect/>
                    </a:stretch>
                  </pic:blipFill>
                  <pic:spPr bwMode="auto">
                    <a:xfrm rot="20700000">
                      <a:off x="0" y="0"/>
                      <a:ext cx="2305050" cy="885825"/>
                    </a:xfrm>
                    <a:prstGeom prst="rect">
                      <a:avLst/>
                    </a:prstGeom>
                    <a:noFill/>
                  </pic:spPr>
                </pic:pic>
              </a:graphicData>
            </a:graphic>
          </wp:anchor>
        </w:drawing>
      </w:r>
    </w:p>
    <w:p>
      <w:pPr>
        <w:pStyle w:val="OEM"/>
        <w:jc w:val="start"/>
        <w:rPr>
          <w:rFonts w:ascii="Times New Roman" w:hAnsi="Times New Roman"/>
          <w:b w:val="false"/>
          <w:bCs w:val="false"/>
          <w:color w:val="26282F"/>
          <w:sz w:val="20"/>
          <w:szCs w:val="20"/>
        </w:rPr>
      </w:pPr>
      <w:r>
        <w:rPr>
          <w:rFonts w:ascii="Times New Roman" w:hAnsi="Times New Roman"/>
          <w:b w:val="false"/>
          <w:bCs w:val="false"/>
          <w:color w:val="26282F"/>
          <w:sz w:val="20"/>
          <w:szCs w:val="20"/>
        </w:rPr>
      </w:r>
    </w:p>
    <w:p>
      <w:pPr>
        <w:pStyle w:val="OEM"/>
        <w:jc w:val="start"/>
        <w:rPr>
          <w:rFonts w:ascii="Times New Roman" w:hAnsi="Times New Roman"/>
          <w:b w:val="false"/>
          <w:bCs w:val="false"/>
          <w:color w:val="26282F"/>
          <w:sz w:val="20"/>
          <w:szCs w:val="20"/>
        </w:rPr>
      </w:pPr>
      <w:r>
        <w:rPr>
          <w:rFonts w:ascii="Times New Roman" w:hAnsi="Times New Roman"/>
          <w:b w:val="false"/>
          <w:bCs w:val="false"/>
          <w:color w:val="26282F"/>
          <w:sz w:val="20"/>
          <w:szCs w:val="20"/>
        </w:rPr>
      </w:r>
    </w:p>
    <w:p>
      <w:pPr>
        <w:pStyle w:val="OEM"/>
        <w:jc w:val="start"/>
        <w:rPr>
          <w:rFonts w:ascii="Times New Roman" w:hAnsi="Times New Roman"/>
          <w:b w:val="false"/>
          <w:bCs w:val="false"/>
          <w:color w:val="26282F"/>
          <w:sz w:val="20"/>
          <w:szCs w:val="20"/>
        </w:rPr>
      </w:pPr>
      <w:r>
        <w:rPr>
          <w:rFonts w:ascii="Times New Roman" w:hAnsi="Times New Roman"/>
          <w:b w:val="false"/>
          <w:bCs w:val="false"/>
          <w:color w:val="26282F"/>
          <w:sz w:val="20"/>
          <w:szCs w:val="20"/>
        </w:rPr>
      </w:r>
    </w:p>
    <w:p>
      <w:pPr>
        <w:pStyle w:val="OEM"/>
        <w:jc w:val="start"/>
        <w:rPr>
          <w:rFonts w:ascii="Times New Roman" w:hAnsi="Times New Roman"/>
          <w:b w:val="false"/>
          <w:bCs w:val="false"/>
          <w:color w:val="26282F"/>
          <w:sz w:val="20"/>
          <w:szCs w:val="20"/>
        </w:rPr>
      </w:pPr>
      <w:r>
        <w:rPr>
          <w:rFonts w:ascii="Times New Roman" w:hAnsi="Times New Roman"/>
          <w:b w:val="false"/>
          <w:bCs w:val="false"/>
          <w:color w:val="26282F"/>
          <w:sz w:val="20"/>
          <w:szCs w:val="20"/>
        </w:rPr>
      </w:r>
    </w:p>
    <w:p>
      <w:pPr>
        <w:pStyle w:val="OEM"/>
        <w:jc w:val="start"/>
        <w:rPr>
          <w:rFonts w:ascii="Times New Roman" w:hAnsi="Times New Roman"/>
          <w:b w:val="false"/>
          <w:bCs w:val="false"/>
          <w:color w:val="26282F"/>
          <w:sz w:val="20"/>
          <w:szCs w:val="20"/>
        </w:rPr>
      </w:pPr>
      <w:r>
        <w:rPr>
          <w:rFonts w:ascii="Times New Roman" w:hAnsi="Times New Roman"/>
          <w:b w:val="false"/>
          <w:bCs w:val="false"/>
          <w:color w:val="26282F"/>
          <w:sz w:val="20"/>
          <w:szCs w:val="20"/>
        </w:rPr>
      </w:r>
    </w:p>
    <w:p>
      <w:pPr>
        <w:pStyle w:val="OEM"/>
        <w:jc w:val="start"/>
        <w:rPr>
          <w:rFonts w:ascii="Times New Roman" w:hAnsi="Times New Roman"/>
          <w:b w:val="false"/>
          <w:bCs w:val="false"/>
          <w:color w:val="26282F"/>
          <w:sz w:val="20"/>
          <w:szCs w:val="20"/>
        </w:rPr>
      </w:pPr>
      <w:r>
        <w:rPr>
          <w:rFonts w:ascii="Times New Roman" w:hAnsi="Times New Roman"/>
          <w:b w:val="false"/>
          <w:bCs w:val="false"/>
          <w:color w:val="26282F"/>
          <w:sz w:val="20"/>
          <w:szCs w:val="20"/>
        </w:rPr>
      </w:r>
    </w:p>
    <w:p>
      <w:pPr>
        <w:pStyle w:val="OEM"/>
        <w:jc w:val="start"/>
        <w:rPr>
          <w:rFonts w:ascii="Times New Roman" w:hAnsi="Times New Roman"/>
          <w:b w:val="false"/>
          <w:bCs w:val="false"/>
          <w:color w:val="26282F"/>
          <w:sz w:val="20"/>
          <w:szCs w:val="20"/>
        </w:rPr>
      </w:pPr>
      <w:r>
        <w:rPr>
          <w:rFonts w:ascii="Times New Roman" w:hAnsi="Times New Roman"/>
          <w:b w:val="false"/>
          <w:bCs w:val="false"/>
          <w:color w:val="26282F"/>
          <w:sz w:val="20"/>
          <w:szCs w:val="20"/>
        </w:rPr>
      </w:r>
    </w:p>
    <w:p>
      <w:pPr>
        <w:pStyle w:val="OEM"/>
        <w:jc w:val="start"/>
        <w:rPr>
          <w:rFonts w:ascii="Times New Roman" w:hAnsi="Times New Roman"/>
          <w:b w:val="false"/>
          <w:bCs w:val="false"/>
          <w:color w:val="26282F"/>
          <w:sz w:val="20"/>
          <w:szCs w:val="20"/>
        </w:rPr>
      </w:pPr>
      <w:r>
        <w:rPr>
          <w:rFonts w:ascii="Times New Roman" w:hAnsi="Times New Roman"/>
          <w:b w:val="false"/>
          <w:bCs w:val="false"/>
          <w:color w:val="26282F"/>
          <w:sz w:val="20"/>
          <w:szCs w:val="20"/>
        </w:rPr>
      </w:r>
    </w:p>
    <w:p>
      <w:pPr>
        <w:pStyle w:val="OEM"/>
        <w:jc w:val="start"/>
        <w:rPr>
          <w:rFonts w:ascii="Times New Roman" w:hAnsi="Times New Roman"/>
          <w:b w:val="false"/>
          <w:bCs w:val="false"/>
          <w:color w:val="26282F"/>
          <w:sz w:val="20"/>
          <w:szCs w:val="20"/>
        </w:rPr>
      </w:pPr>
      <w:r>
        <w:rPr>
          <w:rFonts w:ascii="Times New Roman" w:hAnsi="Times New Roman"/>
          <w:b w:val="false"/>
          <w:bCs w:val="false"/>
          <w:color w:val="26282F"/>
          <w:sz w:val="20"/>
          <w:szCs w:val="20"/>
        </w:rPr>
      </w:r>
    </w:p>
    <w:sectPr>
      <w:headerReference w:type="default" r:id="rId7"/>
      <w:footerReference w:type="default" r:id="rId8"/>
      <w:type w:val="nextPage"/>
      <w:pgSz w:w="11906" w:h="16838"/>
      <w:pgMar w:left="1134" w:right="1134" w:gutter="0" w:header="907" w:top="1134" w:footer="907"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Arial">
    <w:charset w:val="cc" w:characterSet="windows-1251"/>
    <w:family w:val="swiss"/>
    <w:pitch w:val="variable"/>
  </w:font>
  <w:font w:name="Courier New">
    <w:charset w:val="cc" w:characterSet="windows-1251"/>
    <w:family w:val="auto"/>
    <w:pitch w:val="fixed"/>
  </w:font>
  <w:font w:name="Times New Roman">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rFonts w:ascii="Times New Roman" w:hAnsi="Times New Roman"/>
        <w:sz w:val="18"/>
        <w:szCs w:val="18"/>
      </w:rPr>
    </w:pPr>
    <w:r>
      <w:rPr>
        <w:rFonts w:ascii="Times New Roman" w:hAnsi="Times New Roman"/>
        <w:sz w:val="18"/>
        <w:szCs w:val="18"/>
      </w:rPr>
      <w:fldChar w:fldCharType="begin"/>
    </w:r>
    <w:r>
      <w:rPr>
        <w:sz w:val="18"/>
        <w:szCs w:val="18"/>
        <w:rFonts w:ascii="Times New Roman" w:hAnsi="Times New Roman"/>
      </w:rPr>
      <w:instrText xml:space="preserve"> PAGE </w:instrText>
    </w:r>
    <w:r>
      <w:rPr>
        <w:sz w:val="18"/>
        <w:szCs w:val="18"/>
        <w:rFonts w:ascii="Times New Roman" w:hAnsi="Times New Roman"/>
      </w:rPr>
      <w:fldChar w:fldCharType="separate"/>
    </w:r>
    <w:r>
      <w:rPr>
        <w:sz w:val="18"/>
        <w:szCs w:val="18"/>
        <w:rFonts w:ascii="Times New Roman" w:hAnsi="Times New Roman"/>
      </w:rPr>
      <w:t>7</w:t>
    </w:r>
    <w:r>
      <w:rPr>
        <w:sz w:val="18"/>
        <w:szCs w:val="18"/>
        <w:rFonts w:ascii="Times New Roman" w:hAnsi="Times New Roman"/>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center"/>
      <w:rPr>
        <w:rFonts w:ascii="Times New Roman" w:hAnsi="Times New Roman"/>
        <w:sz w:val="18"/>
        <w:szCs w:val="18"/>
      </w:rPr>
    </w:pPr>
    <w:r>
      <w:rPr>
        <w:rFonts w:ascii="Times New Roman" w:hAnsi="Times New Roman"/>
        <w:sz w:val="18"/>
        <w:szCs w:val="18"/>
      </w:rPr>
      <w:fldChar w:fldCharType="begin"/>
    </w:r>
    <w:r>
      <w:rPr>
        <w:sz w:val="18"/>
        <w:szCs w:val="18"/>
        <w:rFonts w:ascii="Times New Roman" w:hAnsi="Times New Roman"/>
      </w:rPr>
      <w:instrText xml:space="preserve"> PAGE </w:instrText>
    </w:r>
    <w:r>
      <w:rPr>
        <w:sz w:val="18"/>
        <w:szCs w:val="18"/>
        <w:rFonts w:ascii="Times New Roman" w:hAnsi="Times New Roman"/>
      </w:rPr>
      <w:fldChar w:fldCharType="separate"/>
    </w:r>
    <w:r>
      <w:rPr>
        <w:sz w:val="18"/>
        <w:szCs w:val="18"/>
        <w:rFonts w:ascii="Times New Roman" w:hAnsi="Times New Roman"/>
      </w:rPr>
      <w:t>7</w:t>
    </w:r>
    <w:r>
      <w:rPr>
        <w:sz w:val="18"/>
        <w:szCs w:val="18"/>
        <w:rFonts w:ascii="Times New Roman" w:hAnsi="Times New Roman"/>
      </w:rPr>
      <w:fldChar w:fldCharType="end"/>
    </w:r>
  </w:p>
</w:hdr>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ru-RU"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ru-RU" w:eastAsia="zh-CN" w:bidi="hi-IN"/>
    </w:rPr>
  </w:style>
  <w:style w:type="character" w:styleId="Hyperlink">
    <w:name w:val="Hyperlink"/>
    <w:rPr>
      <w:color w:val="000080"/>
      <w:u w:val="single"/>
    </w:rPr>
  </w:style>
  <w:style w:type="paragraph" w:styleId="Style14">
    <w:name w:val="Заголовок"/>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5">
    <w:name w:val="Указатель"/>
    <w:basedOn w:val="Normal"/>
    <w:qFormat/>
    <w:pPr>
      <w:suppressLineNumbers/>
    </w:pPr>
    <w:rPr>
      <w:rFonts w:cs="Arial"/>
    </w:rPr>
  </w:style>
  <w:style w:type="paragraph" w:styleId="Preformatted">
    <w:name w:val="Preformatted"/>
    <w:qFormat/>
    <w:pPr>
      <w:widowControl/>
      <w:suppressAutoHyphens w:val="false"/>
      <w:kinsoku w:val="true"/>
      <w:overflowPunct w:val="true"/>
      <w:autoSpaceDE w:val="true"/>
      <w:bidi w:val="0"/>
      <w:spacing w:before="0" w:after="0"/>
      <w:ind w:hanging="0" w:start="0" w:end="0"/>
      <w:jc w:val="both"/>
    </w:pPr>
    <w:rPr>
      <w:rFonts w:ascii="Courier New" w:hAnsi="Courier New" w:eastAsia="Symbol" w:cs="Wingdings"/>
      <w:color w:val="auto"/>
      <w:kern w:val="2"/>
      <w:sz w:val="24"/>
      <w:szCs w:val="24"/>
      <w:lang w:val="ru-RU" w:eastAsia="zh-CN" w:bidi="hi-IN"/>
    </w:rPr>
  </w:style>
  <w:style w:type="paragraph" w:styleId="OEM">
    <w:name w:val="Нормальный (OEM)"/>
    <w:basedOn w:val="Preformatted"/>
    <w:qFormat/>
    <w:pPr/>
    <w:rPr/>
  </w:style>
  <w:style w:type="paragraph" w:styleId="Style16">
    <w:name w:val="Нормальный"/>
    <w:basedOn w:val="Normal"/>
    <w:qFormat/>
    <w:pPr/>
    <w:rPr/>
  </w:style>
  <w:style w:type="paragraph" w:styleId="Textreference">
    <w:name w:val="Text (reference)"/>
    <w:basedOn w:val="Normal"/>
    <w:qFormat/>
    <w:pPr>
      <w:spacing w:before="75" w:after="0"/>
      <w:ind w:hanging="0" w:start="0" w:end="0"/>
      <w:jc w:val="both"/>
    </w:pPr>
    <w:rPr>
      <w:i/>
      <w:color w:val="353842"/>
      <w:sz w:val="24"/>
    </w:rPr>
  </w:style>
  <w:style w:type="paragraph" w:styleId="Style17">
    <w:name w:val="Информация о версии"/>
    <w:basedOn w:val="Textreference"/>
    <w:qFormat/>
    <w:pPr>
      <w:shd w:fill="F0F0F0" w:val="clear"/>
      <w:jc w:val="both"/>
    </w:pPr>
    <w:rPr>
      <w:shd w:fill="F0F0F0" w:val="clear"/>
    </w:rPr>
  </w:style>
  <w:style w:type="paragraph" w:styleId="Style18">
    <w:name w:val="Содержимое таблицы"/>
    <w:basedOn w:val="Normal"/>
    <w:qFormat/>
    <w:pPr>
      <w:widowControl w:val="false"/>
      <w:suppressLineNumbers/>
    </w:pPr>
    <w:rPr/>
  </w:style>
  <w:style w:type="paragraph" w:styleId="Style19">
    <w:name w:val="Заголовок таблицы"/>
    <w:basedOn w:val="Style18"/>
    <w:qFormat/>
    <w:pPr>
      <w:suppressLineNumbers/>
      <w:jc w:val="center"/>
    </w:pPr>
    <w:rPr>
      <w:b/>
      <w:bC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Style20">
    <w:name w:val="Содержимое врезки"/>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image" Target="file:///H:/Passport/&#1043;&#1086;&#1089;&#1091;&#1089;&#1083;&#1091;&#1075;&#1080;/&#1057;&#1053;&#1048;&#1051;&#1057;%2000460892329.pdf" TargetMode="External"/><Relationship Id="rId5" Type="http://schemas.openxmlformats.org/officeDocument/2006/relationships/image" Target="media/image1.png"/><Relationship Id="rId6" Type="http://schemas.openxmlformats.org/officeDocument/2006/relationships/image" Target="media/image2.sv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1805</TotalTime>
  <Application>LibreOffice/25.2.3.2$Windows_x86 LibreOffice_project/bbb074479178df812d175f709636b368952c2ce3</Application>
  <AppVersion>15.0000</AppVersion>
  <Pages>7</Pages>
  <Words>3644</Words>
  <Characters>25933</Characters>
  <CharactersWithSpaces>29939</CharactersWithSpaces>
  <Paragraphs>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2026-09-16T05:33:35Z</dcterms:created>
  <dc:creator/>
  <dc:description/>
  <dc:language>ru-RU</dc:language>
  <cp:lastModifiedBy/>
  <cp:lastPrinted>2026-09-20T15:55:44Z</cp:lastPrinted>
  <dcterms:modified xsi:type="dcterms:W3CDTF">2026-09-22T16:03:25Z</dcterms:modified>
  <cp:revision>232</cp:revision>
  <dc:subject/>
  <dc:title/>
</cp:coreProperties>
</file>