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을과 을의 상품을 목적지로 운송하기로 하는 운송계약을 체결하였다. 을은 계약 체결 과정에서 상품이 제때 도착하지 않을 경우 손해가 발생할 수 있음을 갑에게 미리 고지하였다. 그러나 운송 도중 문제가 발생하여 상품은 예정된 날짜보다 3일 늦게 도착하였고, 이로 인해 을에게 손해가 발생하였다.</w:t>
        <w:br/>
        <w:br/>
        <w:br/>
        <w:br/>
        <w:t>을은 이에 대한 손해배상을 청구할 생각이었으나, 바쁜 업무로 인해 소송을 즉시 제기하지는 못하였다. 이에 따라 을은 상품이 인도된 날로부터 언제까지 소송을 제기할 수 있는지를 고민하게 되었다.</w:t>
        <w:br/>
        <w:br/>
        <w:t>[질문] 을은 갑에 대한 손해배상청구권을 어느 시점까지 행사할 수 있는가?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운송물의 연착으로 인한 손해배상청구권은 운송물 인도일로부터 정해진 기간 내에 통지나 이의제기를 하지 않으면 소멸하며, 이 기간 내에 통지나 이의제기가 없으면 운송인에 대하여 소송을 제기할 수 없습니다. 다만, 운송인이나 그 사용인·대리인이 악의인 경우에는 예외적으로 소송 제기 기간의 제한을 받지 않습니다. 따라서 을은 상품을 인도받은 날로부터 법이 정한 기간 내에 통지나 이의를 제기하지 않으면 갑에 대한 손해배상청구 소송을 제기할 수 없게 됩니다.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상법 제916조 제5항(운송물의 일부 멸실ㆍ훼손 등에 관한 통지)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제916조(운송물의 일부 멸실ㆍ훼손 등에 관한 통지)</w:t>
        <w:br/>
        <w:t>① 수하인은 운송물의 일부 멸실 또는 훼손을 발견하면 운송물을 수령한 후 지체 없이 그 개요에 관하여 운송인에게 서면 또는 전자문서로 통지를 발송하여야 한다. 다만, 그 멸실 또는 훼손이 즉시 발견할 수 없는 것일 경우에는 수령일부터 14일 이내에 그 통지를 발송하여야 한다.</w:t>
        <w:br/>
        <w:t>② 운송물이 연착된 경우 수하인은 운송물을 처분할 수 있는 날부터 21일 이내에 이의를 제기하여야 한다.</w:t>
        <w:br/>
        <w:t>③ 제1항의 통지가 없는 경우에는 운송물이 멸실 또는 훼손 없이 수하인에게 인도된 것으로 추정한다.</w:t>
        <w:br/>
        <w:t>④ 운송물에 멸실 또는 훼손이 발생하였거나 그런 것으로 의심되는 경우에는 운송인과 수하인은 서로 운송물의 검사를 위하여 필요한 편의를 제공하여야 한다.</w:t>
        <w:br/>
        <w:t>⑤ 제1항과 제2항의 기간 내에 통지나 이의제기가 없을 경우에는 수하인은 운송인에 대하여 제소할 수 없다. 다만, 운송인 또는 그 사용인이나 대리인이 악의인 경우에는 그러하지 아니하다.</w:t>
        <w:br/>
        <w:t>⑥ 제1항부터 제5항까지의 규정에 반하여 수하인에게 불리한 당사자 사이의 특약은 효력이 없다.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운송물의 인도일로부터 정해진 기간 내에 통지나 이의제기가 없으면 수하인은 운송인에 대하여 소송을 제기할 수 없으나 운송인 측에 악의가 있는 경우에는 예외로 합니다. 이 조항은 운송계약에서 발생하는 손해배상청구권의 행사 기간을 엄격히 제한하여 운송인의 법적 안정성을 보호하는 취지입니다. 다만 운송인이나 그 사용인·대리인이 고의나 악의가 있는 경우에는 이러한 기간 제한을 적용하지 않음으로써 피해자의 구제 가능성을 열어둡니다.</w:t>
      </w:r>
    </w:p>
    <w:p>
      <w:pPr>
        <w:pStyle w:val="Heading1"/>
      </w:pPr>
      <w:r>
        <w:t>【결론】</w:t>
      </w:r>
    </w:p>
    <w:p>
      <w:r>
        <w:t>을은 상품을 인도받은 날로부터 상법 제916조제5항이 정하는 기간 내에 통지나 이의를 제기하지 않으면 갑에 대한 손해배상청구 소송을 제기할 수 없게 됩니다. 다만 갑이나 그 사용인·대리인이 연착 사실을 알면서도 고의적으로 방치하거나 악의가 있었다면 기간 제한 없이 소송을 제기할 수 있습니다. 따라서 을은 가능한 한 빨리 통지나 이의를 제기하여 권리를 행사하거나, 갑 측의 악의 여부를 입증할 증거를 확보해야 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1/1 법제처 확인  |  내용 일치: 1/1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