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을시 관할 구역 내 부동산 개발을 위한 허가를 신청하였으나, 을시는 해당 지역이 환경보호구역에 해당한다는 이유로 이를 거부하였다. 그러나 갑은 실제로 환경보호 목적이 아닌 정치적 또는 경제적 외부 압력에 의해 허가가 거부되었다고 판단하고, 을시의 처분이 재량권을 남용하거나 그 한계를 벗어난 것이라며 취소소송을 제기하였다.</w:t>
        <w:br/>
        <w:br/>
        <w:t>[질문] 을시의 부동산 개발 허가 거부가 행정청의 재량에 속하는 경우에도, 법원이 이를 취소할 수 있는 법적 근거는 무엇이며, 갑이 제기한 소송의 대상은 무엇인가? 또한, 법원은 재판 과정에서 어떤 사실에 대해 직권으로 판단할 수 있는가?</w:t>
        <w:br/>
        <w:br/>
        <w:t>위 상황에 적용되는 대한민국 법조문을 '법령명 제N조' 형식으로 구체적으로 인용하여 근거와 함께 답하세요.</w:t>
      </w:r>
    </w:p>
    <w:p>
      <w:pPr>
        <w:pStyle w:val="Heading1"/>
      </w:pPr>
      <w:r>
        <w:t>【답변 요지】</w:t>
      </w:r>
    </w:p>
    <w:p>
      <w:r>
        <w:t>행정청의 재량권 남용이나 한계 초과는 위법한 처분에 해당하므로 법원은 이를 취소할 수 있습니다. 다만, 제공된 참고 조문에는 재량권 남용에 대한 직접적인 취소 근거 조문이 포함되어 있지 않아, 해당 사안에 적용 가능한 구체적 조문을 인용할 수 없습니다. 제공된 조문 중 행정소송법 제9조는 부동산 관련 처분 취소소송의 관할 법원을 규정하고 있을 뿐, 취소 사유나 직권 심리 범위를 명시하지 않습니다. 따라서 주어진 참고 조문 범위 내에서는 질문의 핵심인 취소 근거와 직권 판단 사항에 대한 법적 근거를 제시할 수 없습니다.</w:t>
      </w:r>
    </w:p>
    <w:p>
      <w:pPr>
        <w:pStyle w:val="Heading1"/>
      </w:pPr>
      <w:r>
        <w:t>【관련 법령 및 해설】</w:t>
      </w:r>
    </w:p>
    <w:p>
      <w:r>
        <w:rPr>
          <w:b/>
          <w:i w:val="0"/>
          <w:color w:val="1F3864"/>
          <w:sz w:val="22"/>
        </w:rPr>
        <w:t>▸ 행정소송법 제9조(재판관할)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제9조(재판관할)</w:t>
        <w:br/>
        <w:t xml:space="preserve">①취소소송의 제1심관할법원은 피고의 소재지를 관할하는 행정법원으로 한다.  </w:t>
        <w:br/>
        <w:t xml:space="preserve">② 제1항에도 불구하고 다음 각 호의 어느 하나에 해당하는 피고에 대하여 취소소송을 제기하는 경우에는 대법원소재지를 관할하는 행정법원에 제기할 수 있다.  </w:t>
        <w:br/>
        <w:t>1.  중앙행정기관, 중앙행정기관의 부속기관과 합의제행정기관 또는 그 장</w:t>
        <w:br/>
        <w:t>2.  국가의 사무를 위임 또는 위탁받은 공공단체 또는 그 장</w:t>
        <w:br/>
        <w:t>③토지의 수용 기타 부동산 또는 특정의 장소에 관계되는 처분등에 대한 취소소송은 그 부동산 또는 장소의 소재지를 관할하는 행정법원에 이를 제기할 수 있다.</w:t>
      </w:r>
    </w:p>
    <w:p>
      <w:pPr>
        <w:ind w:left="320"/>
      </w:pPr>
      <w:r>
        <w:rPr>
          <w:b/>
          <w:i w:val="0"/>
          <w:sz w:val="20"/>
        </w:rPr>
        <w:t xml:space="preserve">· 해설: </w:t>
      </w:r>
      <w:r>
        <w:rPr>
          <w:b w:val="0"/>
          <w:i w:val="0"/>
          <w:sz w:val="20"/>
        </w:rPr>
        <w:t>토지 수용 등 부동산에 관한 처분 취소소송은 해당 부동산 소재지를 관할하는 행정법원에 제기할 수 있습니다.</w:t>
      </w:r>
    </w:p>
    <w:p>
      <w:r>
        <w:rPr>
          <w:b/>
          <w:i w:val="0"/>
          <w:color w:val="1F3864"/>
          <w:sz w:val="22"/>
        </w:rPr>
        <w:t>▸ 개발제한구역의 지정 및 관리에 관한 특별조치법 제27조(이의신청)</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제27조(이의신청)</w:t>
        <w:br/>
        <w:t>① 다음 각 호의 어느 하나에 해당하는 자는 「공익사업을 위한 토지 등의 취득 및 보상에 관한 법률」에 따른 중앙토지수용위원회에 이의신청을 할 수 있다.</w:t>
        <w:br/>
        <w:t>1.  제18조에 따라 통보받은 매수 여부에 관한 결정 또는 매수가격에 이의가 있는 자</w:t>
        <w:br/>
        <w:t>2.  제21조에 따른 부담금의 부과ㆍ징수에 대하여 이의가 있는 자</w:t>
        <w:br/>
        <w:t>② 제1항에 따른 이의신청에 대하여는 「행정심판법」 제6조에도 불구하고 중앙토지수용위원회가 심리ㆍ의결하여 재결한다.</w:t>
      </w:r>
    </w:p>
    <w:p>
      <w:pPr>
        <w:ind w:left="320"/>
      </w:pPr>
      <w:r>
        <w:rPr>
          <w:b/>
          <w:i w:val="0"/>
          <w:sz w:val="20"/>
        </w:rPr>
        <w:t xml:space="preserve">· 해설: </w:t>
      </w:r>
      <w:r>
        <w:rPr>
          <w:b w:val="0"/>
          <w:i w:val="0"/>
          <w:sz w:val="20"/>
        </w:rPr>
        <w:t>개발제한구역 관련 이의신청은 중앙토지수용위원회가 심리하여 재결합니다.</w:t>
      </w:r>
    </w:p>
    <w:p>
      <w:r>
        <w:rPr>
          <w:b/>
          <w:i w:val="0"/>
          <w:color w:val="1F3864"/>
          <w:sz w:val="22"/>
        </w:rPr>
        <w:t>▸ 공익사업을 위한 토지 등의 취득 및 보상에 관한 법률 제88조(처분효력의 부정지)</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제88조(처분효력의 부정지) 제83조에 따른 이의의 신청이나 제85조에 따른 행정소송의 제기는 사업의 진행 및 토지의 수용 또는 사용을 정지시키지 아니한다.</w:t>
      </w:r>
    </w:p>
    <w:p>
      <w:pPr>
        <w:ind w:left="320"/>
      </w:pPr>
      <w:r>
        <w:rPr>
          <w:b/>
          <w:i w:val="0"/>
          <w:sz w:val="20"/>
        </w:rPr>
        <w:t xml:space="preserve">· 해설: </w:t>
      </w:r>
      <w:r>
        <w:rPr>
          <w:b w:val="0"/>
          <w:i w:val="0"/>
          <w:sz w:val="20"/>
        </w:rPr>
        <w:t>이의신청이나 행정소송 제기 시 사업 진행 및 토지 수용은 정지되지 않습니다.</w:t>
      </w:r>
    </w:p>
    <w:p>
      <w:r>
        <w:rPr>
          <w:b/>
          <w:i w:val="0"/>
          <w:color w:val="1F3864"/>
          <w:sz w:val="22"/>
        </w:rPr>
        <w:t>▸ 행정소송법 제26조(직권심리)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제26조(직권심리) 법원은 필요하다고 인정할 때에는 직권으로 증거조사를 할 수 있고, 당사자가 주장하지 아니한 사실에 대하여도 판단할 수 있다.</w:t>
      </w:r>
    </w:p>
    <w:p>
      <w:pPr>
        <w:ind w:left="320"/>
      </w:pPr>
      <w:r>
        <w:rPr>
          <w:b/>
          <w:i w:val="0"/>
          <w:sz w:val="20"/>
        </w:rPr>
        <w:t xml:space="preserve">· 해설: </w:t>
      </w:r>
      <w:r>
        <w:rPr>
          <w:b w:val="0"/>
          <w:i w:val="0"/>
          <w:sz w:val="20"/>
        </w:rPr>
        <w:t>(해설 없음)</w:t>
      </w:r>
    </w:p>
    <w:p>
      <w:pPr>
        <w:pStyle w:val="Heading1"/>
      </w:pPr>
      <w:r>
        <w:t>【결론】</w:t>
      </w:r>
    </w:p>
    <w:p>
      <w:r>
        <w:t>제공된 참고 조문에는 행정청의 재량권 남용을 이유로 처분을 취소할 수 있는 근거나 법원의 직권 판단 범위에 대한 규정이 포함되어 있지 않습니다. 따라서 주어진 자료만으로는 을시의 처분 취소 근거와 소송 대상, 직권 판단 사항에 대한 구체적인 법적 결론을 도출할 수 없습니다. 실무에서는 행정소송법 제26조(직권심리) 등 관련 조문을 추가로 확인하여 소송 전략을 수립해야 합니다.</w:t>
      </w:r>
    </w:p>
    <w:p>
      <w:pPr>
        <w:jc w:val="center"/>
      </w:pPr>
      <w:r>
        <w:rPr>
          <w:b w:val="0"/>
          <w:i w:val="0"/>
          <w:color w:val="666666"/>
        </w:rPr>
        <w:t>──────────────────────────────</w:t>
      </w:r>
    </w:p>
    <w:p>
      <w:r>
        <w:rPr>
          <w:b/>
          <w:i w:val="0"/>
          <w:sz w:val="20"/>
        </w:rPr>
        <w:t>인용 검증: 4/4 법제처 확인  |  내용 일치: 4/4  |  환각: 0건</w:t>
      </w:r>
    </w:p>
    <w:p>
      <w:r>
        <w:rPr>
          <w:b w:val="0"/>
          <w:i w:val="0"/>
          <w:color w:val="666666"/>
          <w:sz w:val="18"/>
        </w:rPr>
        <w:t>자율 수정: 1회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