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을에게서 토지를 구매하여 점유하고 있었으나, 을이 소유자가 아님이 밝혀져 병이 갑에 대하여 본권에 관한 소송을 제기하였다. 병은 토지의 진정한 소유자로 판결받았다.</w:t>
        <w:br/>
        <w:br/>
        <w:t>[질문] 갑이 본권에 관한 소송에서 패소한 경우, 갑은 언제부터 악의의 점유자로 간주되는가?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본권에 관한 소송에서 패소한 경우, 그 소송이 제기된 때로부터 악의의 점유자로 간주됩니다. 이는 선의의 점유자라도 본권 소를 제기받은 시점부터 악의 상태로 전환됨을 의미합니다. 따라서 소송 제기 전과 후의 점유자 책임 범위가 달라지며, 손해배상 의무가 확대될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제197조(점유의 태양)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제197조(점유의 태양)</w:t>
        <w:br/>
        <w:t>①점유자는 소유의 의사로 선의, 평온 및 공연하게 점유한 것으로 추정한다.</w:t>
        <w:br/>
        <w:t>②선의의 점유자라도 본권에 관한 소에 패소한 때에는 그 소가 제기된 때로부터 악의의 점유자로 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선의의 점유자라도 본권에 관한 소에 패소한 때에는 그 소가 제기된 때로부터 악의의 점유자로 봅니다. 이 규정은 소송 제기 시점을 기준으로 점유자의 심리 상태를 법적으로 확정하여 책임 범위를 명확히 합니다. 소송이 제기되기 전까지는 선의의 점유자로 보호받으나, 소가 제기된 순간부터는 악의의 점유자로서 더 엄격한 책임을 집니다.</w:t>
      </w:r>
    </w:p>
    <w:p>
      <w:pPr>
        <w:pStyle w:val="Heading1"/>
      </w:pPr>
      <w:r>
        <w:t>【결론】</w:t>
      </w:r>
    </w:p>
    <w:p>
      <w:r>
        <w:t>갑은 병이 본권에 관한 소송을 제기한 날로부터 악의의 점유자로 간주되어, 이후 점유물 멸실이나 훼손 시 손해의 전부를 배상해야 합니다. 소송 제기 전 발생한 손해에 대해서는 선의의 점유자로서 이익이 현존하는 한도에서만 배상할 수 있습니다. 실무에서는 소송 제기일을 정확히 확인하여 책임 발생 시점을 구분하는 것이 중요합니다.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