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을에게 부동산 거래를 위임했습니다. 그러나 계약 기간 중 갑이 해외로 장기 출장을 떠나게 되어 을에게 계약 종료를 알렸습니다. 출장 중 갑의 부동산에 예상치 못한 홍수가 발생했고, 부동산에 대한 긴급 조치가 필요해졌습니다. 을은 갑과 연락이 닿지 않는 상황에서 갑의 부동산을 보호하기 위한 긴급 조치를 진행했습니다.</w:t>
        <w:br/>
        <w:br/>
        <w:t>[질문] 갑이 을에게 부동산 거래를 위임했으나 위임 종료 후 갑의 해외 출장으로 인해 긴급한 상황이 발생했을 때, 을은 어떤 의무를 가지는가?</w:t>
        <w:br/>
        <w:br/>
        <w:t>위 상황에 적용되는 대한민국 법조문을 '법령명 제N조' 형식으로 구체적으로 인용하여 근거와 함께 답하세요.</w:t>
      </w:r>
    </w:p>
    <w:p>
      <w:pPr>
        <w:pStyle w:val="Heading1"/>
      </w:pPr>
      <w:r>
        <w:t>【답변 요지】</w:t>
      </w:r>
    </w:p>
    <w:p>
      <w:r>
        <w:t>제공된 참고 조문에는 위임계약 종료 후의 긴급 조치 의무나 위임인의 부재 시 대리인의 권한에 관한 규정이 포함되어 있지 않습니다. 따라서 주어진 법령 범위 내에서 을의 의무를 구체적으로 규정하거나 판단할 수 있는 근거가 없습니다. 민법상 위임계약의 종료와 긴급대리권 문제는 별도의 민법 조문을 통해 해결해야 합니다.</w:t>
      </w:r>
    </w:p>
    <w:p>
      <w:pPr>
        <w:pStyle w:val="Heading1"/>
      </w:pPr>
      <w:r>
        <w:t>【관련 법령 및 해설】</w:t>
      </w:r>
    </w:p>
    <w:p>
      <w:r>
        <w:rPr>
          <w:b/>
          <w:i w:val="0"/>
          <w:color w:val="1F3864"/>
          <w:sz w:val="22"/>
        </w:rPr>
        <w:t>▸ 외국인투자 촉진법 제13조(국유ㆍ공유재산의 임대)</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제13조(국유ㆍ공유재산의 임대)</w:t>
        <w:br/>
        <w:t xml:space="preserve">① 재정경제부장관, 국유재산을 관리하는 중앙관서의 장, 지방자치단체의 장, 공공기관의 장 또는 「지방공기업법」에 따른 지방공기업(지방직영기업은 제외하며, 이하 이 조에서 "지방공기업"이라 한다)의 장은 국가ㆍ지방자치단체ㆍ공공기관 또는 지방공기업(이하 "국가등"이라 한다)이 소유하는 토지ㆍ공장 또는 그 밖의 재산(이하 "토지등"이라 한다)을 다음 각 호의 어느 하나에 해당하는 법률의 관련 규정에도 불구하고 수의계약으로 외국인투자기업 또는 외국인투자환경 개선시설 운영자(이하 이 조, 제13조의2부터 제13조의4까지 및 제14조에서 "외국인투자기업등"이라 한다)에게 사용ㆍ수익 또는 대부(이하 "임대"라 한다)할 수 있다. 다만, 토지등이 제18조제1항제1호에 해당하는 경우에는 비수도권 국내복귀기업에도 임대할 수 있다.  </w:t>
        <w:br/>
        <w:t>1.  「국유재산법」</w:t>
        <w:br/>
        <w:t>2.  「공유재산 및 물품 관리법」</w:t>
        <w:br/>
        <w:t>3.  「공공기관의 운영에 관한 법률」</w:t>
        <w:br/>
        <w:t>4.  「도시개발법」</w:t>
        <w:br/>
        <w:t>5.  「물류시설의 개발 및 운영에 관한 법률」</w:t>
        <w:br/>
        <w:t>6.  「어촌ㆍ어항법」</w:t>
        <w:br/>
        <w:t>7.  「마리나항만의 조성 및 관리 등에 관한 법률」</w:t>
        <w:br/>
        <w:t xml:space="preserve">② 제1항에 따라 토지등을 임대받을 수 있는 외국인투자기업은 대통령령으로 정하는 최저 외국인투자비율을 충족한 기업에 한하며, 임대받은 후에는 임대받은 날부터 대통령령으로 정하는 기간 동안 최저 외국인투자비율을 유지(산업통상부령으로 정하는 기간의 범위에서 일시적으로 유지하지 못하는 경우는 제외한다. 이하 같다)하여야 한다. 다만, 고용창출 규모, 외국인투자금액 및 기술이전 효과 등 국민경제에 대한 기여도가 큰 외국인투자기업으로서 다음 각 호의 어느 하나에 해당하는 경우에는 그러하지 아니하다.  </w:t>
        <w:br/>
        <w:t>1.  3년 이내에 대통령령으로 정하는 상시 근로자 수를 초과하는 규모의 신규 고용을 창출하는 내용으로 외국인투자 신고를 한 경우</w:t>
        <w:br/>
        <w:t>2.  5년 이내에 대통령령으로 정하는 투자금액 이상을 투자하는 내용으로 외국인투자 신고를 한 경우</w:t>
        <w:br/>
        <w:t>3.  「조세특례제한법」 제121조의2제1항제1호에 따라 조세감면의 결정을 받은 경우</w:t>
        <w:br/>
        <w:t>4.  사회간접자본의 확충, 산업구조의 조정이나 지방자치단체의 재정자립 등에 상당한 기여를 하는 사업으로서 산업통상부장관이 외국인투자위원회의 심의를 거쳐 필요하다고 인정하는 경우</w:t>
        <w:br/>
        <w:t xml:space="preserve">③ 제1항에 따라 국가등이 소유하는 토지등을 임대하는 경우 같은 항 제1호부터 제5호까지의 규정에 해당하는 임대기간은 다음 각 호의 규정에도 불구하고 50년의 범위 내로 할 수 있다. 이 경우 임대기간은 갱신할 수 있으며, 갱신기간은 갱신할 때마다 전단에 따른 기간을 초과할 수 없다.  </w:t>
        <w:br/>
        <w:t>1.  「국유재산법」 제35조제1항 및 제46조제1항</w:t>
        <w:br/>
        <w:t>2.  「공유재산 및 물품 관리법」 제21조제1항 및 제31조제1항</w:t>
        <w:br/>
        <w:t>3.  「도시개발법」 제69조제2항</w:t>
        <w:br/>
        <w:t xml:space="preserve">④ 제1항에 따라 국가나 지방자치단체가 소유하는 토지를 임대하는 경우에는 「국유재산법」 제18조제1항 및 「공유재산 및 물품 관리법」 제13조에도 불구하고 그 토지에 공장이나 그 밖의 영구시설물을 축조하게 할 수 있다. 이 경우 해당 시설물의 종류 등을 고려하여 임대기간이 끝날 때 그 시설물을 국가나 지방자치단체에 기부하거나 원상회복하여 반환하는 조건을 붙여야 한다.  </w:t>
        <w:br/>
        <w:t xml:space="preserve">⑤ 제1항에 따라 국가등이 소유하는 토지등을 임대하는 경우 같은 항 제1호부터 제5호까지의 규정에 해당하는 임대료는 다음 각 호의 규정에도 불구하고 대통령령으로 정하는 바에 따르되, 이를 외화로도 표시할 수 있다.  </w:t>
        <w:br/>
        <w:t>1.  「국유재산법」 제32조제1항 및 제47조</w:t>
        <w:br/>
        <w:t>2.  「공유재산 및 물품 관리법」 제22조ㆍ제32조 및 제35조</w:t>
        <w:br/>
        <w:t>3.  「도시개발법」 제26조 및 제69조</w:t>
        <w:br/>
        <w:t>4.  「물류시설의 개발 및 운영에 관한 법률」 제50조</w:t>
        <w:br/>
        <w:t xml:space="preserve">⑥ 삭제  </w:t>
        <w:br/>
        <w:t xml:space="preserve">⑦ 삭제  </w:t>
        <w:br/>
        <w:t xml:space="preserve">⑧ 삭제  </w:t>
        <w:br/>
        <w:t xml:space="preserve">⑨ 삭제  </w:t>
        <w:br/>
        <w:t xml:space="preserve">⑩ 삭제  </w:t>
        <w:br/>
        <w:t>⑪ 삭제</w:t>
      </w:r>
    </w:p>
    <w:p>
      <w:pPr>
        <w:ind w:left="320"/>
      </w:pPr>
      <w:r>
        <w:rPr>
          <w:b/>
          <w:i w:val="0"/>
          <w:sz w:val="20"/>
        </w:rPr>
        <w:t xml:space="preserve">· 해설: </w:t>
      </w:r>
      <w:r>
        <w:rPr>
          <w:b w:val="0"/>
          <w:i w:val="0"/>
          <w:sz w:val="20"/>
        </w:rPr>
        <w:t>외국인투자 계약 해지 시 국가 등의 토지 권리회복 조치 의무를 규정하고 있으나, 본 사안의 위임계약 종료 및 긴급 조치와는 무관합니다.</w:t>
      </w:r>
    </w:p>
    <w:p>
      <w:r>
        <w:rPr>
          <w:b/>
          <w:i w:val="0"/>
          <w:color w:val="1F3864"/>
          <w:sz w:val="22"/>
        </w:rPr>
        <w:t>▸ 부동산등기 특별조치법 제2조(소유권이전등기등 신청의무)</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제2조(소유권이전등기등 신청의무)</w:t>
        <w:br/>
        <w:t>①부동산의 소유권이전을 내용으로 하는 계약을 체결한 자는 다음 각호의 1에 정하여진 날부터 60일 이내에 소유권이전등기를 신청하여야 한다. 다만, 그 계약이 취소ㆍ해제되거나 무효인 경우에는 그러하지 아니하다.</w:t>
        <w:br/>
        <w:t>1.  계약의 당사자가 서로 대가적인 채무를 부담하는 경우에는 반대급부의 이행이 완료된 날</w:t>
        <w:br/>
        <w:t>2.  계약당사자의 일방만이 채무를 부담하는 경우에는 그 계약의 효력이 발생한 날</w:t>
        <w:br/>
        <w:t>②제1항의 경우에 부동산의 소유권을 이전받을 것을 내용으로 하는 계약을 체결한 자가 제1항 각호에 정하여진 날 이후 그 부동산에 대하여 다시 제3자와 소유권이전을 내용으로 하는 계약이나 제3자에게 계약당사자의 지위를 이전하는 계약을 체결하고자 할 때에는 그 제3자와 계약을 체결하기 전에 먼저 체결된 계약에 따라 소유권이전등기를 신청하여야 한다.</w:t>
        <w:br/>
        <w:t>③제1항의 경우에 부동산의 소유권을 이전받을 것을 내용으로 하는 계약을 체결한 자가 제1항 각호에 정하여진 날 전에 그 부동산에 대하여 다시 제3자와 소유권이전을 내용으로 하는 계약을 체결한 때에는 먼저 체결된 계약의 반대급부의 이행이 완료되거나 계약의 효력이 발생한 날부터 60일 이내에 먼저 체결된 계약에 따라 소유권이전등기를 신청하여야 한다.</w:t>
        <w:br/>
        <w:t xml:space="preserve">④국가ㆍ지방자치단체ㆍ한국토지주택공사ㆍ한국수자원공사 또는 토지구획정리조합(1999年 5月 1日 전에 조합설립의 인가를 받아 土地區劃整理事業의 施行者인 土地區劃整理事業法에 의한 土地區劃整理組合에 한한다)이 택지개발촉진법에 의한 택지개발사업, 토지구획정리사업법에 의한 토지구획정리사업 또는 산업입지및개발에관한법률에 의한 특수지역개발사업(住居施設用 土地에 한한다)의 시행자인 경우에 당해시행자와 부동산의 소유권을 이전받을 것을 내용으로 하는 계약을 최초로 체결한 자가 파산 기타 이와 유사한 사유로 소유권이전등기를 할 수 없는 때에는 지방자치단체의 조례로 정하는 자에 대하여 제2항 및 제3항의 규정을 적용하지 아니한다.  </w:t>
        <w:br/>
        <w:t xml:space="preserve">⑤소유권보존등기가 되어 있지 아니한 부동산에 대하여 소유권이전을 내용으로 하는 계약을 체결한 자는 다음 각호의 1에 정하여진 날부터 60일 이내에 소유권보존등기를 신청하여야 한다.  </w:t>
        <w:br/>
        <w:t>1.  「부동산등기법」 제65조에 따라 소유권보존등기를 신청할 수 있음에도 이를 하지 아니한 채 계약을 체결한 경우에는 그 계약을 체결한 날</w:t>
        <w:br/>
        <w:t>2.  계약을 체결한 후에 「부동산등기법」 제65조에 따라 소유권보존등기를 신청할 수 있게 된 경우에는 소유권보존등기를 신청할 수 있게 된 날</w:t>
      </w:r>
    </w:p>
    <w:p>
      <w:pPr>
        <w:ind w:left="320"/>
      </w:pPr>
      <w:r>
        <w:rPr>
          <w:b/>
          <w:i w:val="0"/>
          <w:sz w:val="20"/>
        </w:rPr>
        <w:t xml:space="preserve">· 해설: </w:t>
      </w:r>
      <w:r>
        <w:rPr>
          <w:b w:val="0"/>
          <w:i w:val="0"/>
          <w:sz w:val="20"/>
        </w:rPr>
        <w:t>부동산 소유권이전등기 신청 기한을 정하고 있으나, 위임계약 종료 후의 긴급 조치 의무와는 관련이 없습니다.</w:t>
      </w:r>
    </w:p>
    <w:p>
      <w:r>
        <w:rPr>
          <w:b/>
          <w:i w:val="0"/>
          <w:color w:val="1F3864"/>
          <w:sz w:val="22"/>
        </w:rPr>
        <w:t>▸ 항만법 시행령 제86조(토지매수업무 등의 위탁)</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제86조(토지매수업무 등의 위탁)</w:t>
        <w:br/>
        <w:t>① 사업시행자는 법 제91조제1항에 따라 관할 지방자치단체 또는 공공기관에 토지매수업무, 손실보상업무 및 이주대책업무 등을 위탁하려는 경우에는 다음 각 호의 사항에 관한 협약을 체결해야 한다.</w:t>
        <w:br/>
        <w:t>1.  위탁사업의 사업지</w:t>
        <w:br/>
        <w:t>2.  위탁사업의 종류ㆍ규모ㆍ금액 및 기간</w:t>
        <w:br/>
        <w:t>3.  위탁사업에 필요한 비용의 지급방법과 그 자금의 관리에 관한 사항</w:t>
        <w:br/>
        <w:t>4.  위탁자가 부동산ㆍ기자재 또는 근로자를 제공하는 경우에는 그 관리에 관한 사항</w:t>
        <w:br/>
        <w:t>5.  위험부담에 관한 사항</w:t>
        <w:br/>
        <w:t>6.  그 밖에 위탁사업의 내용을 명백히 하는 데에 필요한 사항</w:t>
        <w:br/>
        <w:t>② 사업시행자는 제1항에 따라 협약을 체결한 경우에는 협약을 체결한 기관의 명칭 등 협약 체결사실과 그 내용을 인터넷 홈페이지에 공고해야 한다.</w:t>
        <w:br/>
        <w:t xml:space="preserve">③ 법 제91조제1항에서 "대통령령으로 정하는 공공기관"이란 다음 각 호의 기관을 말한다.  </w:t>
        <w:br/>
        <w:t>1.  「한국부동산원법」에 따른 한국부동산원</w:t>
        <w:br/>
        <w:t>2.  「한국농어촌공사 및 농지관리기금법」에 따른 한국농어촌공사</w:t>
        <w:br/>
        <w:t>3.  「한국수자원공사법」에 따른 한국수자원공사</w:t>
        <w:br/>
        <w:t>4.  「한국토지주택공사법」에 따른 한국토지주택공사</w:t>
        <w:br/>
        <w:t>④ 법 제91조제2항에 따른 위탁수수료의 기준은 「공익사업을 위한 토지 등의 취득 및 보상에 관한 법률 시행령」 별표 1에 따른다.</w:t>
      </w:r>
    </w:p>
    <w:p>
      <w:pPr>
        <w:ind w:left="320"/>
      </w:pPr>
      <w:r>
        <w:rPr>
          <w:b/>
          <w:i w:val="0"/>
          <w:sz w:val="20"/>
        </w:rPr>
        <w:t xml:space="preserve">· 해설: </w:t>
      </w:r>
      <w:r>
        <w:rPr>
          <w:b w:val="0"/>
          <w:i w:val="0"/>
          <w:sz w:val="20"/>
        </w:rPr>
        <w:t>항만사업의 위탁 업무 협약 사항을 규정하고 있으나, 일반적인 부동산 위임계약의 종료 및 긴급 조치 문제에는 적용되지 않습니다.</w:t>
      </w:r>
    </w:p>
    <w:p>
      <w:pPr>
        <w:pStyle w:val="Heading1"/>
      </w:pPr>
      <w:r>
        <w:t>【결론】</w:t>
      </w:r>
    </w:p>
    <w:p>
      <w:r>
        <w:t>제공된 참고 조문 중 본 사안인 위임계약 종료 후의 긴급 조치 의무를 규정한 조항은 존재하지 않습니다. 따라서 주어진 법령만으로는 을의 의무를 판단할 수 없으며, 민법상 위임계약의 종료와 긴급대리권 관련 규정을 별도로 확인해야 합니다. 실무에서는 위임계약의 종료 시점과 긴급 조치의 필요성, 그리고 위임인의 이익을 위한 조치 여부를 민법 조문에 비추어 종합적으로 검토해야 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