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일정 금액을 빌려주었고, 이에 대한 변제 기일을 특정하지 않았습니다. 이후 을은 갑에게 일부 금액만 변제하고, 나머지 금액은 몇 년 후에 변제하겠다고 약속하였습니다. 하지만 갑은 을이 약속을 지키지 않을까 염려되어, 법원에 을이 장래에 변제할 금액에 대한 청구를 제기하려고 합니다. 동시에 갑은 법원에 을의 계약 위반으로 인한 손해배상 청구도 하고 싶지만, 이를 공식적으로 신청하지는 않았습니다.</w:t>
        <w:br/>
        <w:br/>
        <w:t>[질문] 갑이 을에게 변제 기일이 없는 대출금의 장래 변제에 대해 청구할 수 있는지, 그리고 갑이 법원에 을의 계약 위반에 대해 신청하지 않은 손해배상 청구에 대해 법원이 판결할 수 있는가?</w:t>
        <w:br/>
        <w:br/>
        <w:t>위 상황에 적용되는 대한민국 법조문을 '법령명 제N조' 형식으로 구체적으로 인용하여 근거와 함께 답하세요.</w:t>
      </w:r>
    </w:p>
    <w:p>
      <w:pPr>
        <w:pStyle w:val="Heading1"/>
      </w:pPr>
      <w:r>
        <w:t>【답변 요지】</w:t>
      </w:r>
    </w:p>
    <w:p>
      <w:r>
        <w:t>변제 기일이 정해지지 않은 채무는 채권자가 언제든지 변제를 청구할 수 있으므로 갑은 장래 변제에 대한 청구를 제기할 수 있습니다. 다만 법원은 당사자가 공식적으로 신청하지 않은 손해배상 청구에 대해서는 심리 및 판결할 수 없습니다. 이는 민사소송의 불간섭 원칙과 청구의 범위 내에서만 판결이 이루어져야 한다는 원칙에 따릅니다. 따라서 갑은 변제 청구는 가능하나 손해배상 청구는 별도의 소를 제기하거나 본안에서 추가 신청해야 합니다.</w:t>
      </w:r>
    </w:p>
    <w:p>
      <w:pPr>
        <w:pStyle w:val="Heading1"/>
      </w:pPr>
      <w:r>
        <w:t>【관련 법령 및 해설】</w:t>
      </w:r>
    </w:p>
    <w:p>
      <w:r>
        <w:rPr>
          <w:b/>
          <w:i w:val="0"/>
          <w:color w:val="1F3864"/>
          <w:sz w:val="22"/>
        </w:rPr>
        <w:t>▸ 민법 제468조(변제기전의 변제)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제468조(변제기전의 변제) 당사자의 특별한 의사표시가 없으면 변제기전이라도 채무자는 변제할 수 있다. 그러나 상대방의 손해는 배상하여야 한다.</w:t>
      </w:r>
    </w:p>
    <w:p>
      <w:pPr>
        <w:ind w:left="320"/>
      </w:pPr>
      <w:r>
        <w:rPr>
          <w:b/>
          <w:i w:val="0"/>
          <w:sz w:val="20"/>
        </w:rPr>
        <w:t xml:space="preserve">· 해설: </w:t>
      </w:r>
      <w:r>
        <w:rPr>
          <w:b w:val="0"/>
          <w:i w:val="0"/>
          <w:sz w:val="20"/>
        </w:rPr>
        <w:t>변제 기일이 정해지지 않은 채무는 채권자가 언제든지 변제를 요구할 수 있으며, 채무자도 기일 전 변제를 할 수 있습니다. 다만 기일 전 변제로 인해 채권자에게 손해가 발생한 경우 채무자는 그 손해를 배상해야 합니다. 이 조항은 기일이 없는 채무의 변제 시기와 그로 인한 책임 범위를 규정합니다.</w:t>
      </w:r>
    </w:p>
    <w:p>
      <w:r>
        <w:rPr>
          <w:b/>
          <w:i w:val="0"/>
          <w:color w:val="1F3864"/>
          <w:sz w:val="22"/>
        </w:rPr>
        <w:t>▸ 민법 제743조(기한전의 변제)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제743조(기한전의 변제) 변제기에 있지 아니한 채무를 변제한 때에는 그 반환을 청구하지 못한다. 그러나 채무자가 착오로 인하여 변제한 때에는 채권자는 이로 인하여 얻은 이익을 반환하여야 한다.</w:t>
      </w:r>
    </w:p>
    <w:p>
      <w:pPr>
        <w:ind w:left="320"/>
      </w:pPr>
      <w:r>
        <w:rPr>
          <w:b/>
          <w:i w:val="0"/>
          <w:sz w:val="20"/>
        </w:rPr>
        <w:t xml:space="preserve">· 해설: </w:t>
      </w:r>
      <w:r>
        <w:rPr>
          <w:b w:val="0"/>
          <w:i w:val="0"/>
          <w:sz w:val="20"/>
        </w:rPr>
        <w:t>변제 기일이 도래하지 않은 채무를 변제한 경우 일반적으로 반환을 청구할 수 없으나, 착오로 변제한 경우에는 채권자가 얻은 이익을 반환해야 합니다. 이 조항은 기한 전 변제의 효력과 반환 의무의 예외를 명확히 합니다.</w:t>
      </w:r>
    </w:p>
    <w:p>
      <w:r>
        <w:rPr>
          <w:b/>
          <w:i w:val="0"/>
          <w:color w:val="1F3864"/>
          <w:sz w:val="22"/>
        </w:rPr>
        <w:t>▸ 채무자 회생 및 파산에 관한 법률 제418조(정지조건부채권 및 장래의 청구권과의 상계)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제418조(정지조건부채권 및 장래의 청구권과의 상계) 정지조건부채권 또는 장래의 청구권을 가진 자가 그 채무를 변제하는 때에는 후일 상계를 하기 위하여 그 채권액의 한도 안에서 변제액의 임치를 청구할 수 있다.</w:t>
      </w:r>
    </w:p>
    <w:p>
      <w:pPr>
        <w:ind w:left="320"/>
      </w:pPr>
      <w:r>
        <w:rPr>
          <w:b/>
          <w:i w:val="0"/>
          <w:sz w:val="20"/>
        </w:rPr>
        <w:t xml:space="preserve">· 해설: </w:t>
      </w:r>
      <w:r>
        <w:rPr>
          <w:b w:val="0"/>
          <w:i w:val="0"/>
          <w:sz w:val="20"/>
        </w:rPr>
        <w:t>정지조건부채권이나 장래의 청구권을 가진 자가 채무를 변제할 때 상계를 위해 변제액을 임치할 수 있습니다. 이 조항은 파산 절차에서 장래 청구권과 상계 관계를 규율합니다.</w:t>
      </w:r>
    </w:p>
    <w:p>
      <w:pPr>
        <w:pStyle w:val="Heading1"/>
      </w:pPr>
      <w:r>
        <w:t>【결론】</w:t>
      </w:r>
    </w:p>
    <w:p>
      <w:r>
        <w:t>갑은 변제 기일이 없는 대출금에 대해 언제든지 변제를 청구할 수 있으므로 법원에 장래 변제 청구를 제기할 수 있습니다. 그러나 손해배상 청구는 당사자가 공식적으로 신청하지 않았으므로 법원은 이를 판결할 수 없습니다. 갑은 손해배상 청구를 위해서는 별도의 소를 제기하거나 본안 소송에서 추가 신청해야 합니다. 실무적으로는 청구 범위를 명확히 하여 소송의 효율성을 높이는 것이 중요합니다.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