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법률 질의 답변서</w:t>
      </w:r>
    </w:p>
    <w:p>
      <w:pPr>
        <w:pStyle w:val="Heading1"/>
      </w:pPr>
      <w:r>
        <w:t>【질의 내용】</w:t>
      </w:r>
    </w:p>
    <w:p>
      <w:r>
        <w:t>[상황]</w:t>
        <w:br/>
        <w:t>갑은 을에게 자신의 토지를 매도하기로 계약을 체결하였다. 을은 대금을 전부 지급하였으나, 아직 소유권 이전 등기를 하지 않은 상태이다. 을은 그 땅에 건물을 짓기 시작하려 한다. 이 상황에서 갑은 을에게 소유권이 이전되었는지 여부를 묻고자 한다.</w:t>
        <w:br/>
        <w:br/>
        <w:t>[질문] 을은 갑으로부터 토지를 매수하고 대금을 모두 지불하였으나, 아직 등기가 되지 않았습니다. 을이 그 땅의 소유권을 취득한 것으로 볼 수 있는가?</w:t>
        <w:br/>
        <w:br/>
        <w:t>위 상황에 적용되는 대한민국 법조문을 '법령명 제N조' 형식으로 구체적으로 인용하여 근거와 함께 답하세요.</w:t>
      </w:r>
    </w:p>
    <w:p>
      <w:pPr>
        <w:pStyle w:val="Heading1"/>
      </w:pPr>
      <w:r>
        <w:t>【답변 요지】</w:t>
      </w:r>
    </w:p>
    <w:p>
      <w:r>
        <w:t>민법상 토지 소유권 이전은 등기를 요건으로 하므로, 등기가 완료되지 않은 한 을은 소유권을 취득한 것으로 볼 수 없습니다. 제공된 참고 조문인 도시 및 주거환경정비법 제87조와 농지법 제24조는 재개발 사업이나 농지 임대차에 관한 특례 규정으로, 일반적인 토지 매매 사안에는 적용되지 않습니다. 따라서 대금 지급만으로는 소유권 이전 효력이 발생하지 않으며, 을은 소유권 이전 등기를 요청할 채권적 권리만 가집니다.</w:t>
      </w:r>
    </w:p>
    <w:p>
      <w:pPr>
        <w:pStyle w:val="Heading1"/>
      </w:pPr>
      <w:r>
        <w:t>【관련 법령 및 해설】</w:t>
      </w:r>
    </w:p>
    <w:p>
      <w:r>
        <w:rPr>
          <w:b/>
          <w:i w:val="0"/>
          <w:color w:val="1F3864"/>
          <w:sz w:val="22"/>
        </w:rPr>
        <w:t>▸ 도시 및 주거환경정비법 제87조(대지 및 건축물에 대한 권리의 확정)</w:t>
      </w:r>
      <w:r>
        <w:t xml:space="preserve">   </w:t>
      </w:r>
      <w:r>
        <w:rPr>
          <w:b/>
          <w:i w:val="0"/>
          <w:color w:val="1A7F37"/>
          <w:sz w:val="18"/>
        </w:rPr>
        <w:t>[✓ 실존]</w:t>
      </w:r>
      <w:r>
        <w:t xml:space="preserve"> </w:t>
      </w:r>
      <w:r>
        <w:rPr>
          <w:b/>
          <w:i w:val="0"/>
          <w:color w:val="1A7F37"/>
          <w:sz w:val="18"/>
        </w:rPr>
        <w:t>[✓ 내용일치]</w:t>
      </w:r>
    </w:p>
    <w:p>
      <w:pPr>
        <w:ind w:left="320"/>
      </w:pPr>
      <w:r>
        <w:rPr>
          <w:b/>
          <w:i w:val="0"/>
          <w:sz w:val="18"/>
        </w:rPr>
        <w:t xml:space="preserve">· 조문 원문: </w:t>
      </w:r>
      <w:r>
        <w:rPr>
          <w:b w:val="0"/>
          <w:i w:val="0"/>
          <w:color w:val="333333"/>
          <w:sz w:val="18"/>
        </w:rPr>
        <w:t>제87조(대지 및 건축물에 대한 권리의 확정)</w:t>
        <w:br/>
        <w:t>① 대지 또는 건축물을 분양받을 자에게 제86조제2항에 따라 소유권을 이전한 경우 종전의 토지 또는 건축물에 설정된 지상권ㆍ전세권ㆍ저당권ㆍ임차권ㆍ가등기담보권ㆍ가압류 등 등기된 권리 및 「주택임대차보호법」 제3조제1항의 요건을 갖춘 임차권은 소유권을 이전받은 대지 또는 건축물에 설정된 것으로 본다.</w:t>
        <w:br/>
        <w:t>② 제1항에 따라 취득하는 대지 또는 건축물 중 토지등소유자에게 분양하는 대지 또는 건축물은 「도시개발법」 제40조에 따라 행하여진 환지로 본다.</w:t>
        <w:br/>
        <w:t>③ 제79조제4항에 따른 보류지와 일반에게 분양하는 대지 또는 건축물은 「도시개발법」 제34조에 따른 보류지 또는 체비지로 본다.</w:t>
      </w:r>
    </w:p>
    <w:p>
      <w:pPr>
        <w:ind w:left="320"/>
      </w:pPr>
      <w:r>
        <w:rPr>
          <w:b/>
          <w:i w:val="0"/>
          <w:sz w:val="20"/>
        </w:rPr>
        <w:t xml:space="preserve">· 해설: </w:t>
      </w:r>
      <w:r>
        <w:rPr>
          <w:b w:val="0"/>
          <w:i w:val="0"/>
          <w:sz w:val="20"/>
        </w:rPr>
        <w:t>이 조문은 재개발 등 정비사업으로 소유권이 이전될 때 기존 등기된 권리나 임차권이 새로운 소유물에 존속함을 규정하여, 일반적인 매매 계약의 소유권 이전 요건과는 무관합니다.</w:t>
      </w:r>
    </w:p>
    <w:p>
      <w:r>
        <w:rPr>
          <w:b/>
          <w:i w:val="0"/>
          <w:color w:val="1F3864"/>
          <w:sz w:val="22"/>
        </w:rPr>
        <w:t>▸ 농지법 제24조(임대차ㆍ사용대차 계약 방법과 확인)</w:t>
      </w:r>
      <w:r>
        <w:t xml:space="preserve">   </w:t>
      </w:r>
      <w:r>
        <w:rPr>
          <w:b/>
          <w:i w:val="0"/>
          <w:color w:val="1A7F37"/>
          <w:sz w:val="18"/>
        </w:rPr>
        <w:t>[✓ 실존]</w:t>
      </w:r>
      <w:r>
        <w:t xml:space="preserve"> </w:t>
      </w:r>
      <w:r>
        <w:rPr>
          <w:b/>
          <w:i w:val="0"/>
          <w:color w:val="1A7F37"/>
          <w:sz w:val="18"/>
        </w:rPr>
        <w:t>[✓ 내용일치]</w:t>
      </w:r>
    </w:p>
    <w:p>
      <w:pPr>
        <w:ind w:left="320"/>
      </w:pPr>
      <w:r>
        <w:rPr>
          <w:b/>
          <w:i w:val="0"/>
          <w:sz w:val="18"/>
        </w:rPr>
        <w:t xml:space="preserve">· 조문 원문: </w:t>
      </w:r>
      <w:r>
        <w:rPr>
          <w:b w:val="0"/>
          <w:i w:val="0"/>
          <w:color w:val="333333"/>
          <w:sz w:val="18"/>
        </w:rPr>
        <w:t>제24조(임대차ㆍ사용대차 계약 방법과 확인)</w:t>
        <w:br/>
        <w:t xml:space="preserve">① 임대차계약(농업경영을 하려는 자에게 임대하는 경우만 해당한다. 이하 이 절에서 같다)과 사용대차계약(농업경영을 하려는 자에게 무상사용하게 하는 경우만 해당한다)은 서면계약을 원칙으로 한다.  </w:t>
        <w:br/>
        <w:t>② 제1항에 따른 임대차계약은 그 등기가 없는 경우에도 임차인이 농지소재지를 관할하는 시ㆍ구ㆍ읍ㆍ면의 장의 확인을 받고, 해당 농지를 인도(引渡)받은 경우에는 그 다음 날부터 제삼자에 대하여 효력이 생긴다.</w:t>
        <w:br/>
        <w:t>③ 시ㆍ구ㆍ읍ㆍ면의 장은 농지임대차계약 확인대장을 갖추어 두고, 임대차계약증서를 소지한 임대인 또는 임차인의 확인 신청이 있는 때에는 농림축산식품부령으로 정하는 바에 따라 임대차계약을 확인한 후 대장에 그 내용을 기록하여야 한다.</w:t>
      </w:r>
    </w:p>
    <w:p>
      <w:pPr>
        <w:ind w:left="320"/>
      </w:pPr>
      <w:r>
        <w:rPr>
          <w:b/>
          <w:i w:val="0"/>
          <w:sz w:val="20"/>
        </w:rPr>
        <w:t xml:space="preserve">· 해설: </w:t>
      </w:r>
      <w:r>
        <w:rPr>
          <w:b w:val="0"/>
          <w:i w:val="0"/>
          <w:sz w:val="20"/>
        </w:rPr>
        <w:t>이 조문은 농지 임대차 계약에서 등기 없이도 확인과 인도만으로 제3자에게 대항할 수 있음을 규정하고 있으나, 소유권 이전의 요건을 완화하는 규정이 아닙니다.</w:t>
      </w:r>
    </w:p>
    <w:p>
      <w:pPr>
        <w:pStyle w:val="Heading1"/>
      </w:pPr>
      <w:r>
        <w:t>【결론】</w:t>
      </w:r>
    </w:p>
    <w:p>
      <w:r>
        <w:t>을은 아직 소유권 이전 등기를 하지 않았으므로 법적으로 토지 소유권을 취득한 것으로 보지 못합니다. 을은 갑에게 소유권 이전 등기를 해 줄 것을 청구할 수 있는 채권적 권리를 행사하여 등기를 완료해야 합니다. 등기 완료 전까지 을은 토지 소유자가 아니므로 건물을 짓는 등 소유자의 권리를 행사하는 데 법적 제한이 따를 수 있습니다.</w:t>
      </w:r>
    </w:p>
    <w:p>
      <w:pPr>
        <w:jc w:val="center"/>
      </w:pPr>
      <w:r>
        <w:rPr>
          <w:b w:val="0"/>
          <w:i w:val="0"/>
          <w:color w:val="666666"/>
        </w:rPr>
        <w:t>──────────────────────────────</w:t>
      </w:r>
    </w:p>
    <w:p>
      <w:r>
        <w:rPr>
          <w:b/>
          <w:i w:val="0"/>
          <w:sz w:val="20"/>
        </w:rPr>
        <w:t>인용 검증: 2/2 법제처 확인  |  내용 일치: 2/2  |  환각: 0건</w:t>
      </w:r>
    </w:p>
    <w:p>
      <w:r>
        <w:rPr>
          <w:b w:val="0"/>
          <w:i w:val="0"/>
          <w:color w:val="666666"/>
          <w:sz w:val="18"/>
        </w:rPr>
        <w:t>자율 수정: 0회  |  생성: Qwen3.5-27B · 교차검증: DeepSeek-R1-Distill-Qwen-32B (온프레미스)</w:t>
      </w:r>
    </w:p>
    <w:p>
      <w:r>
        <w:rPr>
          <w:b w:val="0"/>
          <w:i w:val="0"/>
          <w:color w:val="666666"/>
          <w:sz w:val="18"/>
        </w:rPr>
        <w:t>문서 생성: 2026-07-14  |  법제처 국가법령정보 Open API 근거 기반 자동 검증</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