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5천만 원을 빌려주었으나, 을이 상환 기한이 지나도 돈을 갚지 않았습니다. 결국 갑은 법원에 강제집행을 신청하였고, 집행관이 을의 자산을 압류하여 경매를 통해 돈을 회수하기로 결정했습니다. 경매 절차를 진행하는 과정에서 강제집행에 소요되는 비용이 발생하였습니다.</w:t>
        <w:br/>
        <w:br/>
        <w:t>[질문] 을의 자산에 대한 강제집행에 필요한 비용은 누가 부담하는가?</w:t>
        <w:br/>
        <w:br/>
        <w:t>위 상황에 적용되는 대한민국 법조문을 '법령명 제N조' 형식으로 구체적으로 인용하여 근거와 함께 답하세요.</w:t>
      </w:r>
    </w:p>
    <w:p>
      <w:pPr>
        <w:pStyle w:val="Heading1"/>
      </w:pPr>
      <w:r>
        <w:t>【답변 요지】</w:t>
      </w:r>
    </w:p>
    <w:p>
      <w:r>
        <w:t>강제집행에 필요한 비용은 원칙적으로 채무자인 을이 부담합니다. 이 비용은 집행으로 인해 회수된 금액에서 우선적으로 변상받습니다. 따라서 경매 대금에서 집행 비용을 먼저 공제한 나머지가 채권자에게 지급됩니다.</w:t>
      </w:r>
    </w:p>
    <w:p>
      <w:pPr>
        <w:pStyle w:val="Heading1"/>
      </w:pPr>
      <w:r>
        <w:t>【관련 법령 및 해설】</w:t>
      </w:r>
    </w:p>
    <w:p>
      <w:r>
        <w:rPr>
          <w:b/>
          <w:i w:val="0"/>
          <w:color w:val="1F3864"/>
          <w:sz w:val="22"/>
        </w:rPr>
        <w:t>▸ 민사집행법 제53조(집행비용의 부담)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제53조(집행비용의 부담)</w:t>
        <w:br/>
        <w:t>①강제집행에 필요한 비용은 채무자가 부담하고 그 집행에 의하여 우선적으로 변상을 받는다.</w:t>
        <w:br/>
        <w:t>②강제집행의 기초가 된 판결이 파기된 때에는 채권자는 제1항의 비용을 채무자에게 변상하여야 한다.</w:t>
      </w:r>
    </w:p>
    <w:p>
      <w:pPr>
        <w:ind w:left="320"/>
      </w:pPr>
      <w:r>
        <w:rPr>
          <w:b/>
          <w:i w:val="0"/>
          <w:sz w:val="20"/>
        </w:rPr>
        <w:t xml:space="preserve">· 해설: </w:t>
      </w:r>
      <w:r>
        <w:rPr>
          <w:b w:val="0"/>
          <w:i w:val="0"/>
          <w:sz w:val="20"/>
        </w:rPr>
        <w:t>강제집행에 필요한 비용은 채무자가 부담하며 그 집행에 의하여 우선적으로 변상을 받습니다. 이 규정은 채무자가 집행 비용의 최종 부담 주체임을 명확히 하고 있습니다. 또한 회수된 금전 중 집행 비용이 다른 채권보다 먼저 지급받아야 함을 규정합니다.</w:t>
      </w:r>
    </w:p>
    <w:p>
      <w:pPr>
        <w:pStyle w:val="Heading1"/>
      </w:pPr>
      <w:r>
        <w:t>【결론】</w:t>
      </w:r>
    </w:p>
    <w:p>
      <w:r>
        <w:t>을의 자산 경매로 회수된 대금에서 발생한 강제집행 비용은 을이 부담하며, 이 비용은 회수금에서 가장 먼저 공제됩니다. 갑은 비용 공제 후 남은 금액을 변제받게 되므로, 회수 가능 금액은 집행 비용의 크기에 따라 달라질 수 있습니다. 실무에서는 집행 비용의 우선 변상 원칙을 고려하여 채권 회수 예상액을 산정해야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