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500만 원을 받을 권리가 있는 채권자입니다. 갑은 이 채권을 병에게 양도하기로 했습니다. 그러나 을은 갑이 병에게 채권을 양도했다는 사실을 알지 못하고 있었습니다. 며칠 후, 갑이 을에게 채권이 병에게 양도되었다고 통지하려고 합니다.</w:t>
        <w:br/>
        <w:br/>
        <w:t>[질문] 병이 을에게 채권양도로써 대항할 수 있도록 하기 위해 필요한 요건은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병이 을에게 채권양도로 대항하려면 양도인인 갑이 채무자인 을에게 채권양도 사실을 통지하거나 을이 이를 승낙해야 합니다. 통지나 승낙이 이루어지지 않은 상태에서는 채권양도가 채무자에게 대항할 수 없으므로 을은 여전히 갑에게 변제할 수 있습니다. 따라서 갑이 을에게 양도 사실을 알리는 통지 행위가 대항요건 충족의 핵심입니다.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제449조(채권의 양도성)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제449조(채권의 양도성)</w:t>
        <w:br/>
        <w:t>①채권은 양도할 수 있다. 그러나 채권의 성질이 양도를 허용하지 아니하는 때에는 그러하지 아니하다.</w:t>
        <w:br/>
        <w:t>②채권은 당사자가 반대의 의사를 표시한 경우에는 양도하지 못한다. 그러나 그 의사표시로써 선의의 제삼자에게 대항하지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채권의 양도에 관한 일반 규정을 두고 있는 조항으로 채권양도의 기본 원칙을 제시합니다.</w:t>
      </w:r>
    </w:p>
    <w:p>
      <w:r>
        <w:rPr>
          <w:b/>
          <w:i w:val="0"/>
          <w:color w:val="1F3864"/>
          <w:sz w:val="22"/>
        </w:rPr>
        <w:t>▸ 민법 제452조(양도통지와 금반언)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제452조(양도통지와 금반언)</w:t>
        <w:br/>
        <w:t>①양도인이 채무자에게 채권양도를 통지한 때에는 아직 양도하지 아니하였거나 그 양도가 무효인 경우에도 선의인 채무자는 양수인에게 대항할 수 있는 사유로 양도인에게 대항할 수 있다.</w:t>
        <w:br/>
        <w:t>②전항의 통지는 양수인의 동의가 없으면 철회하지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양도인이 채무자에게 채권양도를 통지한 경우 선의인 채무자는 양도인에게 대항할 수 있는 사유로 양도인에게 대항할 수 있음을 규정합니다.</w:t>
      </w:r>
    </w:p>
    <w:p>
      <w:r>
        <w:rPr>
          <w:b/>
          <w:i w:val="0"/>
          <w:color w:val="1F3864"/>
          <w:sz w:val="22"/>
        </w:rPr>
        <w:t>▸ 전자금융거래법 제20조(전자채권양도의 대항요건)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제20조(전자채권양도의 대항요건)</w:t>
        <w:br/>
        <w:t xml:space="preserve">①전자채권의 양도는 다음 각 호의 요건을 모두 갖춘 때에 「민법」 제450조제1항의 규정에 따른 대항요건을 갖춘 것으로 본다.  </w:t>
        <w:br/>
        <w:t>1.  양도인의 채권양도의 통지 또는 채무자의 승낙이 「전자서명법」 제2조제2호에 따른 전자서명(서명자의 실지명의를 확인할 수 있는 것을 말한다)을 한 전자문서에 의하여 이루어질 것</w:t>
        <w:br/>
        <w:t>2.  제1호의 규정에 따른 통지 또는 승낙이 기재된 전자문서가 전자채권관리기관에 등록될 것</w:t>
        <w:br/>
        <w:t>②제1항의 규정에 따른 통지 또는 승낙이 기재된 전자문서에 「전자서명법」 제18조에 따른 시점확인이 있고 제1항의 요건을 모두 갖춘 때에 「민법」 제450조제2항의 규정에 따른 대항요건을 갖춘 것으로 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전자채권의 양도 시 전자서명을 한 전자문서로 통지하거나 승낙을 하고 이를 전자채권관리기관에 등록하면 민법상 대항요건을 갖춘 것으로 봅니다.</w:t>
      </w:r>
    </w:p>
    <w:p>
      <w:pPr>
        <w:pStyle w:val="Heading1"/>
      </w:pPr>
      <w:r>
        <w:t>【결론】</w:t>
      </w:r>
    </w:p>
    <w:p>
      <w:r>
        <w:t>본 사안에서 병이 을에게 대항하려면 갑이 을에게 채권양도 사실을 통지하거나 을이 이를 승낙해야 합니다. 만약 통지나 승낙이 없다면 을은 갑에게 변제할 수 있으며 병은 을에게 변제를 요구할 수 없습니다. 따라서 갑이 을에게 양도 사실을 명확히 통지하는 것이 병의 권리 보호를 위해 필수적입니다.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